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14:paraId="2A4C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7" w:hRule="atLeast"/>
          <w:jc w:val="center"/>
        </w:trPr>
        <w:tc>
          <w:tcPr>
            <w:tcW w:w="9301" w:type="dxa"/>
          </w:tcPr>
          <w:p w14:paraId="7F69C2FB">
            <w:pPr>
              <w:jc w:val="center"/>
              <w:rPr>
                <w:rFonts w:hint="eastAsia" w:ascii="宋体" w:hAnsi="宋体" w:cs="宋体"/>
                <w:b/>
                <w:bCs/>
                <w:color w:val="auto"/>
                <w:sz w:val="84"/>
                <w:highlight w:val="none"/>
              </w:rPr>
            </w:pPr>
            <w:r>
              <w:rPr>
                <w:rFonts w:hint="eastAsia" w:ascii="宋体" w:hAnsi="宋体" w:cs="宋体"/>
                <w:b/>
                <w:bCs/>
                <w:color w:val="auto"/>
                <w:sz w:val="84"/>
                <w:highlight w:val="none"/>
                <w:lang w:val="en-US" w:eastAsia="zh-CN"/>
              </w:rPr>
              <w:t xml:space="preserve"> </w:t>
            </w:r>
          </w:p>
          <w:p w14:paraId="3475D602">
            <w:pPr>
              <w:jc w:val="center"/>
              <w:rPr>
                <w:rFonts w:hint="eastAsia" w:ascii="方正黑体_GBK" w:hAnsi="宋体" w:eastAsia="方正黑体_GBK" w:cs="Times New Roman"/>
                <w:color w:val="auto"/>
                <w:kern w:val="2"/>
                <w:sz w:val="120"/>
                <w:szCs w:val="120"/>
                <w:highlight w:val="none"/>
                <w:lang w:val="en-US" w:eastAsia="zh-CN"/>
              </w:rPr>
            </w:pPr>
            <w:r>
              <w:rPr>
                <w:rFonts w:hint="eastAsia" w:ascii="方正黑体_GBK" w:hAnsi="宋体" w:eastAsia="方正黑体_GBK" w:cs="Times New Roman"/>
                <w:color w:val="auto"/>
                <w:kern w:val="2"/>
                <w:sz w:val="120"/>
                <w:szCs w:val="120"/>
                <w:highlight w:val="none"/>
                <w:lang w:val="en-US" w:eastAsia="zh-CN"/>
              </w:rPr>
              <w:t>院  内</w:t>
            </w:r>
          </w:p>
          <w:p w14:paraId="66DC1395">
            <w:pPr>
              <w:jc w:val="center"/>
              <w:rPr>
                <w:rFonts w:hint="eastAsia" w:ascii="宋体" w:hAnsi="宋体" w:cs="宋体"/>
                <w:b/>
                <w:bCs/>
                <w:color w:val="auto"/>
                <w:sz w:val="84"/>
                <w:highlight w:val="none"/>
              </w:rPr>
            </w:pPr>
            <w:r>
              <w:rPr>
                <w:rFonts w:hint="eastAsia" w:ascii="方正黑体_GBK" w:hAnsi="宋体" w:eastAsia="方正黑体_GBK" w:cs="Times New Roman"/>
                <w:color w:val="auto"/>
                <w:kern w:val="2"/>
                <w:sz w:val="120"/>
                <w:szCs w:val="120"/>
                <w:highlight w:val="none"/>
                <w:lang w:val="en-US" w:eastAsia="zh-CN"/>
              </w:rPr>
              <w:t>公开遴选文件</w:t>
            </w:r>
          </w:p>
          <w:p w14:paraId="490D1366">
            <w:pPr>
              <w:ind w:firstLine="2618" w:firstLineChars="595"/>
              <w:rPr>
                <w:rFonts w:hint="eastAsia" w:ascii="宋体" w:hAnsi="宋体" w:cs="宋体"/>
                <w:color w:val="auto"/>
                <w:sz w:val="44"/>
                <w:szCs w:val="44"/>
                <w:highlight w:val="none"/>
              </w:rPr>
            </w:pPr>
          </w:p>
          <w:p w14:paraId="6914317D">
            <w:pPr>
              <w:rPr>
                <w:rFonts w:hint="eastAsia" w:ascii="宋体" w:hAnsi="宋体" w:cs="宋体"/>
                <w:color w:val="auto"/>
                <w:sz w:val="44"/>
                <w:szCs w:val="44"/>
                <w:highlight w:val="none"/>
              </w:rPr>
            </w:pPr>
          </w:p>
          <w:p w14:paraId="5647F565">
            <w:pPr>
              <w:rPr>
                <w:rFonts w:hint="eastAsia" w:ascii="宋体" w:hAnsi="宋体" w:cs="宋体"/>
                <w:color w:val="auto"/>
                <w:sz w:val="44"/>
                <w:szCs w:val="44"/>
                <w:highlight w:val="none"/>
              </w:rPr>
            </w:pPr>
          </w:p>
          <w:p w14:paraId="79C21065">
            <w:pPr>
              <w:pStyle w:val="2"/>
              <w:ind w:firstLine="1280" w:firstLineChars="400"/>
              <w:jc w:val="left"/>
              <w:rPr>
                <w:rFonts w:hint="eastAsia" w:ascii="宋体" w:hAnsi="宋体" w:cs="宋体"/>
                <w:color w:val="auto"/>
                <w:sz w:val="32"/>
                <w:szCs w:val="32"/>
                <w:highlight w:val="none"/>
              </w:rPr>
            </w:pPr>
          </w:p>
          <w:p w14:paraId="599FAAC7">
            <w:pPr>
              <w:pStyle w:val="2"/>
              <w:rPr>
                <w:rFonts w:hint="eastAsia"/>
              </w:rPr>
            </w:pPr>
          </w:p>
          <w:p w14:paraId="222A0147">
            <w:pPr>
              <w:rPr>
                <w:rFonts w:hint="eastAsia"/>
              </w:rPr>
            </w:pPr>
          </w:p>
          <w:p w14:paraId="2E4B0D12">
            <w:pPr>
              <w:pStyle w:val="2"/>
              <w:rPr>
                <w:rFonts w:hint="eastAsia"/>
              </w:rPr>
            </w:pPr>
          </w:p>
          <w:p w14:paraId="294E9BAA">
            <w:pPr>
              <w:rPr>
                <w:rFonts w:hint="eastAsia"/>
              </w:rPr>
            </w:pPr>
          </w:p>
          <w:p w14:paraId="4D16575D">
            <w:pPr>
              <w:pStyle w:val="2"/>
              <w:rPr>
                <w:rFonts w:hint="eastAsia"/>
              </w:rPr>
            </w:pPr>
          </w:p>
          <w:p w14:paraId="190AC3B0">
            <w:pPr>
              <w:rPr>
                <w:rFonts w:hint="eastAsia"/>
              </w:rPr>
            </w:pPr>
          </w:p>
          <w:p w14:paraId="36AC4655">
            <w:pPr>
              <w:pStyle w:val="2"/>
              <w:numPr>
                <w:numId w:val="0"/>
              </w:numPr>
              <w:ind w:left="2254" w:leftChars="0" w:firstLine="960" w:firstLineChars="300"/>
              <w:jc w:val="left"/>
              <w:rPr>
                <w:rFonts w:hint="eastAsia" w:ascii="宋体" w:hAnsi="宋体" w:cs="宋体"/>
                <w:color w:val="auto"/>
                <w:sz w:val="30"/>
                <w:szCs w:val="30"/>
                <w:highlight w:val="none"/>
              </w:rPr>
            </w:pPr>
            <w:r>
              <w:rPr>
                <w:rFonts w:hint="eastAsia" w:ascii="方正小标宋_GBK" w:hAnsi="方正小标宋_GBK" w:eastAsia="方正小标宋_GBK" w:cs="方正小标宋_GBK"/>
                <w:color w:val="auto"/>
                <w:kern w:val="2"/>
                <w:sz w:val="32"/>
                <w:szCs w:val="32"/>
                <w:highlight w:val="none"/>
                <w:lang w:val="en-US" w:eastAsia="zh-CN" w:bidi="ar-SA"/>
              </w:rPr>
              <w:t>项目名称：陪护服务</w:t>
            </w:r>
          </w:p>
          <w:p w14:paraId="564E77AE">
            <w:pPr>
              <w:ind w:firstLine="2520" w:firstLineChars="900"/>
              <w:jc w:val="left"/>
              <w:rPr>
                <w:rFonts w:hint="eastAsia" w:ascii="方正小标宋_GBK" w:hAnsi="方正小标宋_GBK" w:eastAsia="方正小标宋_GBK" w:cs="方正小标宋_GBK"/>
                <w:color w:val="auto"/>
                <w:spacing w:val="-20"/>
                <w:kern w:val="2"/>
                <w:sz w:val="32"/>
                <w:szCs w:val="32"/>
                <w:highlight w:val="none"/>
                <w:lang w:val="en-US" w:eastAsia="zh-CN"/>
              </w:rPr>
            </w:pPr>
            <w:r>
              <w:rPr>
                <w:rFonts w:hint="eastAsia" w:ascii="方正小标宋_GBK" w:hAnsi="方正小标宋_GBK" w:eastAsia="方正小标宋_GBK" w:cs="方正小标宋_GBK"/>
                <w:color w:val="auto"/>
                <w:spacing w:val="-20"/>
                <w:kern w:val="2"/>
                <w:sz w:val="32"/>
                <w:szCs w:val="32"/>
                <w:highlight w:val="none"/>
              </w:rPr>
              <w:t>采购人：</w:t>
            </w:r>
            <w:r>
              <w:rPr>
                <w:rFonts w:hint="eastAsia" w:ascii="方正小标宋_GBK" w:hAnsi="方正小标宋_GBK" w:eastAsia="方正小标宋_GBK" w:cs="方正小标宋_GBK"/>
                <w:color w:val="auto"/>
                <w:spacing w:val="-20"/>
                <w:kern w:val="2"/>
                <w:sz w:val="32"/>
                <w:szCs w:val="32"/>
                <w:highlight w:val="none"/>
                <w:lang w:val="en-US" w:eastAsia="zh-CN"/>
              </w:rPr>
              <w:t>重庆市九龙坡区中医院</w:t>
            </w:r>
            <w:bookmarkStart w:id="0" w:name="_Toc478460667"/>
            <w:bookmarkEnd w:id="0"/>
            <w:bookmarkStart w:id="1" w:name="_Toc478460232"/>
            <w:bookmarkEnd w:id="1"/>
            <w:bookmarkStart w:id="2" w:name="_Toc25725118"/>
            <w:bookmarkEnd w:id="2"/>
            <w:bookmarkStart w:id="3" w:name="_Toc11641050"/>
            <w:bookmarkEnd w:id="3"/>
            <w:bookmarkStart w:id="4" w:name="_Toc399689508"/>
            <w:bookmarkEnd w:id="4"/>
          </w:p>
          <w:p w14:paraId="555974BB">
            <w:pPr>
              <w:ind w:firstLine="3520" w:firstLineChars="1100"/>
              <w:jc w:val="left"/>
              <w:rPr>
                <w:rFonts w:hint="eastAsia" w:ascii="方正小标宋_GBK" w:hAnsi="方正小标宋_GBK" w:eastAsia="方正小标宋_GBK" w:cs="方正小标宋_GBK"/>
                <w:color w:val="auto"/>
                <w:spacing w:val="0"/>
                <w:kern w:val="2"/>
                <w:sz w:val="32"/>
                <w:szCs w:val="32"/>
                <w:highlight w:val="none"/>
                <w:lang w:val="en-US" w:eastAsia="zh-CN" w:bidi="ar-SA"/>
              </w:rPr>
            </w:pPr>
            <w:r>
              <w:rPr>
                <w:rFonts w:hint="eastAsia" w:ascii="方正小标宋_GBK" w:hAnsi="方正小标宋_GBK" w:eastAsia="方正小标宋_GBK" w:cs="方正小标宋_GBK"/>
                <w:color w:val="auto"/>
                <w:spacing w:val="0"/>
                <w:kern w:val="2"/>
                <w:sz w:val="32"/>
                <w:szCs w:val="32"/>
                <w:highlight w:val="none"/>
                <w:lang w:val="en-US" w:eastAsia="zh-CN" w:bidi="ar-SA"/>
              </w:rPr>
              <w:t>二〇二五年十月</w:t>
            </w:r>
          </w:p>
          <w:sdt>
            <w:sdtPr>
              <w:rPr>
                <w:rFonts w:ascii="Calibri" w:hAnsi="Calibri" w:eastAsia="宋体" w:cs="Calibri"/>
                <w:color w:val="auto"/>
                <w:kern w:val="0"/>
                <w:sz w:val="20"/>
                <w:szCs w:val="20"/>
                <w:highlight w:val="none"/>
                <w:lang w:val="zh-CN"/>
              </w:rPr>
              <w:id w:val="931012250"/>
              <w:docPartObj>
                <w:docPartGallery w:val="Table of Contents"/>
                <w:docPartUnique/>
              </w:docPartObj>
            </w:sdtPr>
            <w:sdtEndPr>
              <w:rPr>
                <w:rFonts w:ascii="Times New Roman" w:hAnsi="Times New Roman" w:eastAsia="宋体" w:cs="Times New Roman"/>
                <w:color w:val="auto"/>
                <w:kern w:val="2"/>
                <w:sz w:val="30"/>
                <w:szCs w:val="30"/>
                <w:highlight w:val="none"/>
                <w:lang w:val="zh-CN"/>
              </w:rPr>
            </w:sdtEndPr>
            <w:sdtContent>
              <w:p w14:paraId="440B516B">
                <w:pPr>
                  <w:pStyle w:val="22"/>
                  <w:spacing w:line="600" w:lineRule="exact"/>
                  <w:jc w:val="center"/>
                  <w:rPr>
                    <w:rFonts w:ascii="Calibri" w:hAnsi="Calibri" w:eastAsia="宋体" w:cs="Calibri"/>
                    <w:color w:val="auto"/>
                    <w:kern w:val="0"/>
                    <w:sz w:val="20"/>
                    <w:szCs w:val="20"/>
                    <w:highlight w:val="none"/>
                    <w:lang w:val="zh-CN"/>
                  </w:rPr>
                </w:pPr>
              </w:p>
              <w:p w14:paraId="25651E74">
                <w:pPr>
                  <w:pStyle w:val="22"/>
                  <w:spacing w:line="600" w:lineRule="exact"/>
                  <w:jc w:val="center"/>
                  <w:rPr>
                    <w:rFonts w:hint="eastAsia" w:cs="方正小标宋_GBK" w:asciiTheme="minorEastAsia" w:hAnsiTheme="minorEastAsia" w:eastAsiaTheme="minorEastAsia"/>
                    <w:b/>
                    <w:bCs/>
                    <w:color w:val="auto"/>
                    <w:kern w:val="2"/>
                    <w:sz w:val="28"/>
                    <w:szCs w:val="28"/>
                    <w:highlight w:val="none"/>
                    <w:lang w:val="zh-CN"/>
                  </w:rPr>
                </w:pPr>
                <w:r>
                  <w:rPr>
                    <w:rFonts w:cs="方正小标宋_GBK" w:asciiTheme="minorEastAsia" w:hAnsiTheme="minorEastAsia" w:eastAsiaTheme="minorEastAsia"/>
                    <w:b/>
                    <w:bCs/>
                    <w:color w:val="auto"/>
                    <w:kern w:val="2"/>
                    <w:sz w:val="28"/>
                    <w:szCs w:val="28"/>
                    <w:highlight w:val="none"/>
                    <w:lang w:val="zh-CN"/>
                  </w:rPr>
                  <w:t>目</w:t>
                </w:r>
                <w:r>
                  <w:rPr>
                    <w:rFonts w:hint="eastAsia" w:cs="方正小标宋_GBK" w:asciiTheme="minorEastAsia" w:hAnsiTheme="minorEastAsia" w:eastAsiaTheme="minorEastAsia"/>
                    <w:b/>
                    <w:bCs/>
                    <w:color w:val="auto"/>
                    <w:kern w:val="2"/>
                    <w:sz w:val="28"/>
                    <w:szCs w:val="28"/>
                    <w:highlight w:val="none"/>
                    <w:lang w:val="zh-CN"/>
                  </w:rPr>
                  <w:t xml:space="preserve">  </w:t>
                </w:r>
                <w:r>
                  <w:rPr>
                    <w:rFonts w:cs="方正小标宋_GBK" w:asciiTheme="minorEastAsia" w:hAnsiTheme="minorEastAsia" w:eastAsiaTheme="minorEastAsia"/>
                    <w:b/>
                    <w:bCs/>
                    <w:color w:val="auto"/>
                    <w:kern w:val="2"/>
                    <w:sz w:val="28"/>
                    <w:szCs w:val="28"/>
                    <w:highlight w:val="none"/>
                    <w:lang w:val="zh-CN"/>
                  </w:rPr>
                  <w:t>录</w:t>
                </w:r>
              </w:p>
              <w:p w14:paraId="44570118">
                <w:pPr>
                  <w:pStyle w:val="9"/>
                  <w:spacing w:line="600" w:lineRule="exact"/>
                  <w:rPr>
                    <w:rFonts w:hint="eastAsia" w:asciiTheme="minorEastAsia" w:hAnsiTheme="minorEastAsia" w:eastAsiaTheme="minorEastAsia"/>
                    <w:color w:val="auto"/>
                    <w:sz w:val="28"/>
                    <w:szCs w:val="28"/>
                    <w:highlight w:val="none"/>
                  </w:rPr>
                </w:pPr>
                <w:r>
                  <w:rPr>
                    <w:rFonts w:hint="eastAsia" w:cs="方正小标宋_GBK" w:asciiTheme="minorEastAsia" w:hAnsiTheme="minorEastAsia" w:eastAsiaTheme="minorEastAsia"/>
                    <w:b/>
                    <w:bCs/>
                    <w:color w:val="auto"/>
                    <w:sz w:val="28"/>
                    <w:szCs w:val="28"/>
                    <w:highlight w:val="none"/>
                    <w:lang w:val="zh-CN"/>
                  </w:rPr>
                  <w:t>第一篇  遴选内容</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zh-CN"/>
                  </w:rPr>
                  <w:t>3</w:t>
                </w:r>
              </w:p>
              <w:p w14:paraId="505F28AB">
                <w:pPr>
                  <w:pStyle w:val="9"/>
                  <w:spacing w:line="600" w:lineRule="exact"/>
                  <w:rPr>
                    <w:rFonts w:hint="eastAsia" w:asciiTheme="minorEastAsia" w:hAnsiTheme="minorEastAsia" w:eastAsiaTheme="minorEastAsia"/>
                    <w:color w:val="auto"/>
                    <w:sz w:val="28"/>
                    <w:szCs w:val="28"/>
                    <w:highlight w:val="none"/>
                  </w:rPr>
                </w:pPr>
                <w:r>
                  <w:rPr>
                    <w:rFonts w:hint="eastAsia" w:cs="方正小标宋_GBK" w:asciiTheme="minorEastAsia" w:hAnsiTheme="minorEastAsia" w:eastAsiaTheme="minorEastAsia"/>
                    <w:b/>
                    <w:bCs/>
                    <w:color w:val="auto"/>
                    <w:sz w:val="28"/>
                    <w:szCs w:val="28"/>
                    <w:highlight w:val="none"/>
                    <w:lang w:val="zh-CN"/>
                  </w:rPr>
                  <w:t>第二篇  供应商须知</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zh-CN"/>
                  </w:rPr>
                  <w:t>5</w:t>
                </w:r>
              </w:p>
              <w:p w14:paraId="34EBBE5B">
                <w:pPr>
                  <w:pStyle w:val="9"/>
                  <w:spacing w:line="600" w:lineRule="exact"/>
                  <w:rPr>
                    <w:rFonts w:hint="default" w:asciiTheme="minorEastAsia" w:hAnsiTheme="minorEastAsia" w:eastAsiaTheme="minorEastAsia"/>
                    <w:color w:val="auto"/>
                    <w:sz w:val="28"/>
                    <w:szCs w:val="28"/>
                    <w:highlight w:val="none"/>
                    <w:lang w:val="en-US" w:eastAsia="zh-CN"/>
                  </w:rPr>
                </w:pPr>
                <w:r>
                  <w:rPr>
                    <w:rFonts w:hint="eastAsia" w:cs="方正小标宋_GBK" w:asciiTheme="minorEastAsia" w:hAnsiTheme="minorEastAsia" w:eastAsiaTheme="minorEastAsia"/>
                    <w:b/>
                    <w:bCs/>
                    <w:color w:val="auto"/>
                    <w:sz w:val="28"/>
                    <w:szCs w:val="28"/>
                    <w:highlight w:val="none"/>
                    <w:lang w:val="zh-CN"/>
                  </w:rPr>
                  <w:t xml:space="preserve">第三篇  </w:t>
                </w:r>
                <w:r>
                  <w:rPr>
                    <w:rFonts w:hint="eastAsia" w:cs="方正小标宋_GBK" w:asciiTheme="minorEastAsia" w:hAnsiTheme="minorEastAsia" w:eastAsiaTheme="minorEastAsia"/>
                    <w:b/>
                    <w:bCs/>
                    <w:color w:val="auto"/>
                    <w:sz w:val="28"/>
                    <w:szCs w:val="28"/>
                    <w:highlight w:val="none"/>
                  </w:rPr>
                  <w:t>项目要求</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en-US" w:eastAsia="zh-CN"/>
                  </w:rPr>
                  <w:t>10</w:t>
                </w:r>
              </w:p>
              <w:p w14:paraId="28EB5776">
                <w:pPr>
                  <w:jc w:val="center"/>
                  <w:rPr>
                    <w:rFonts w:ascii="Times New Roman" w:hAnsi="Times New Roman" w:eastAsia="宋体" w:cs="Times New Roman"/>
                    <w:color w:val="auto"/>
                    <w:kern w:val="2"/>
                    <w:sz w:val="30"/>
                    <w:szCs w:val="30"/>
                    <w:highlight w:val="none"/>
                    <w:lang w:val="zh-CN"/>
                  </w:rPr>
                </w:pPr>
                <w:r>
                  <w:rPr>
                    <w:rFonts w:hint="eastAsia" w:cs="方正小标宋_GBK" w:asciiTheme="minorEastAsia" w:hAnsiTheme="minorEastAsia" w:eastAsiaTheme="minorEastAsia"/>
                    <w:b/>
                    <w:bCs/>
                    <w:color w:val="auto"/>
                    <w:sz w:val="28"/>
                    <w:szCs w:val="28"/>
                    <w:highlight w:val="none"/>
                    <w:lang w:val="zh-CN"/>
                  </w:rPr>
                  <w:t>第</w:t>
                </w:r>
                <w:r>
                  <w:rPr>
                    <w:rFonts w:hint="eastAsia" w:cs="方正小标宋_GBK" w:asciiTheme="minorEastAsia" w:hAnsiTheme="minorEastAsia" w:eastAsiaTheme="minorEastAsia"/>
                    <w:b/>
                    <w:bCs/>
                    <w:color w:val="auto"/>
                    <w:sz w:val="28"/>
                    <w:szCs w:val="28"/>
                    <w:highlight w:val="none"/>
                    <w:lang w:val="en-US" w:eastAsia="zh-CN"/>
                  </w:rPr>
                  <w:t>四</w:t>
                </w:r>
                <w:r>
                  <w:rPr>
                    <w:rFonts w:hint="eastAsia" w:cs="方正小标宋_GBK" w:asciiTheme="minorEastAsia" w:hAnsiTheme="minorEastAsia" w:eastAsiaTheme="minorEastAsia"/>
                    <w:b/>
                    <w:bCs/>
                    <w:color w:val="auto"/>
                    <w:sz w:val="28"/>
                    <w:szCs w:val="28"/>
                    <w:highlight w:val="none"/>
                    <w:lang w:val="zh-CN"/>
                  </w:rPr>
                  <w:t>篇</w:t>
                </w:r>
                <w:r>
                  <w:rPr>
                    <w:rFonts w:hint="eastAsia" w:cs="方正小标宋_GBK" w:asciiTheme="minorEastAsia" w:hAnsiTheme="minorEastAsia" w:eastAsiaTheme="minorEastAsia"/>
                    <w:b/>
                    <w:bCs/>
                    <w:color w:val="auto"/>
                    <w:sz w:val="28"/>
                    <w:szCs w:val="28"/>
                    <w:highlight w:val="none"/>
                  </w:rPr>
                  <w:t xml:space="preserve">  </w:t>
                </w:r>
                <w:r>
                  <w:rPr>
                    <w:rFonts w:hint="eastAsia" w:cs="方正小标宋_GBK" w:asciiTheme="minorEastAsia" w:hAnsiTheme="minorEastAsia" w:eastAsiaTheme="minorEastAsia"/>
                    <w:b/>
                    <w:bCs/>
                    <w:color w:val="auto"/>
                    <w:sz w:val="28"/>
                    <w:szCs w:val="28"/>
                    <w:highlight w:val="none"/>
                    <w:lang w:val="zh-CN"/>
                  </w:rPr>
                  <w:t>响应文件格式要求</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rPr>
                  <w:t>1</w:t>
                </w:r>
                <w:r>
                  <w:rPr>
                    <w:rFonts w:hint="eastAsia" w:asciiTheme="minorEastAsia" w:hAnsiTheme="minorEastAsia" w:eastAsiaTheme="minorEastAsia"/>
                    <w:b/>
                    <w:bCs/>
                    <w:color w:val="auto"/>
                    <w:sz w:val="28"/>
                    <w:szCs w:val="28"/>
                    <w:highlight w:val="none"/>
                    <w:lang w:val="en-US" w:eastAsia="zh-CN"/>
                  </w:rPr>
                  <w:t>4</w:t>
                </w:r>
              </w:p>
            </w:sdtContent>
          </w:sdt>
          <w:p w14:paraId="08ABC993">
            <w:pPr>
              <w:jc w:val="center"/>
              <w:rPr>
                <w:rFonts w:hint="eastAsia" w:ascii="宋体" w:hAnsi="宋体" w:cs="宋体"/>
                <w:color w:val="auto"/>
                <w:highlight w:val="none"/>
                <w:lang w:val="zh-CN"/>
              </w:rPr>
            </w:pPr>
            <w:r>
              <w:rPr>
                <w:rFonts w:hint="eastAsia" w:ascii="方正小标宋_GBK" w:hAnsi="方正小标宋_GBK" w:eastAsia="方正小标宋_GBK" w:cs="方正小标宋_GBK"/>
                <w:b/>
                <w:bCs/>
                <w:color w:val="auto"/>
                <w:sz w:val="36"/>
                <w:szCs w:val="36"/>
                <w:highlight w:val="none"/>
                <w:lang w:val="zh-CN"/>
              </w:rPr>
              <w:t>第一篇  遴选内容</w:t>
            </w:r>
          </w:p>
          <w:p w14:paraId="53ECE9C9">
            <w:pPr>
              <w:pStyle w:val="11"/>
              <w:keepNext w:val="0"/>
              <w:keepLines w:val="0"/>
              <w:widowControl/>
              <w:suppressLineNumbers w:val="0"/>
              <w:spacing w:before="75" w:beforeAutospacing="0" w:after="75" w:afterAutospacing="0" w:line="405" w:lineRule="atLeast"/>
              <w:ind w:left="0" w:right="0" w:firstLine="480"/>
              <w:rPr>
                <w:rFonts w:ascii="sans-serif" w:hAnsi="sans-serif" w:eastAsia="sans-serif" w:cs="sans-serif"/>
                <w:i w:val="0"/>
                <w:iCs w:val="0"/>
                <w:caps w:val="0"/>
                <w:color w:val="auto"/>
                <w:spacing w:val="0"/>
                <w:sz w:val="21"/>
                <w:szCs w:val="21"/>
              </w:rPr>
            </w:pPr>
            <w:bookmarkStart w:id="5" w:name="_Toc102227313"/>
            <w:bookmarkEnd w:id="5"/>
            <w:bookmarkStart w:id="6" w:name="_Toc403569776"/>
            <w:bookmarkEnd w:id="6"/>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医院按照采购计划进行供应商遴选采购，欢迎</w:t>
            </w:r>
            <w:r>
              <w:rPr>
                <w:rFonts w:hint="eastAsia" w:ascii="宋体" w:hAnsi="宋体" w:eastAsia="宋体" w:cs="宋体"/>
                <w:i w:val="0"/>
                <w:iCs w:val="0"/>
                <w:caps w:val="0"/>
                <w:color w:val="auto"/>
                <w:spacing w:val="0"/>
                <w:sz w:val="24"/>
                <w:szCs w:val="24"/>
                <w:lang w:eastAsia="zh-CN"/>
              </w:rPr>
              <w:t>广大合格</w:t>
            </w:r>
            <w:r>
              <w:rPr>
                <w:rFonts w:hint="eastAsia" w:ascii="宋体" w:hAnsi="宋体" w:eastAsia="宋体" w:cs="宋体"/>
                <w:i w:val="0"/>
                <w:iCs w:val="0"/>
                <w:caps w:val="0"/>
                <w:color w:val="auto"/>
                <w:spacing w:val="0"/>
                <w:sz w:val="24"/>
                <w:szCs w:val="24"/>
              </w:rPr>
              <w:t>供应商前来参与。</w:t>
            </w:r>
          </w:p>
          <w:p w14:paraId="4B6A76C8">
            <w:pPr>
              <w:pStyle w:val="5"/>
              <w:keepNext w:val="0"/>
              <w:keepLines w:val="0"/>
              <w:widowControl/>
              <w:suppressLineNumbers w:val="0"/>
              <w:spacing w:after="0" w:afterAutospacing="0" w:line="405" w:lineRule="atLeast"/>
              <w:ind w:left="0" w:firstLine="480"/>
              <w:rPr>
                <w:rFonts w:hint="default" w:ascii="sans-serif" w:hAnsi="sans-serif" w:eastAsia="sans-serif" w:cs="sans-serif"/>
                <w:i w:val="0"/>
                <w:iCs w:val="0"/>
                <w:caps w:val="0"/>
                <w:color w:val="auto"/>
                <w:spacing w:val="0"/>
              </w:rPr>
            </w:pPr>
            <w:r>
              <w:rPr>
                <w:rFonts w:hint="eastAsia" w:ascii="宋体" w:hAnsi="宋体" w:eastAsia="宋体" w:cs="宋体"/>
                <w:i w:val="0"/>
                <w:iCs w:val="0"/>
                <w:caps w:val="0"/>
                <w:color w:val="auto"/>
                <w:spacing w:val="0"/>
                <w:sz w:val="24"/>
                <w:szCs w:val="24"/>
              </w:rPr>
              <w:t>一、供应商参与资格</w:t>
            </w:r>
          </w:p>
          <w:p w14:paraId="35BEFB54">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合格的供应商应首先符合政府采购法第二十二条规定的基本条件，同时符合根据该项目特殊要求设置的特定资格条件。</w:t>
            </w:r>
          </w:p>
          <w:p w14:paraId="2E31F5D1">
            <w:pPr>
              <w:pStyle w:val="11"/>
              <w:keepNext w:val="0"/>
              <w:keepLines w:val="0"/>
              <w:widowControl/>
              <w:suppressLineNumbers w:val="0"/>
              <w:spacing w:before="75" w:beforeAutospacing="0" w:after="75" w:afterAutospacing="0" w:line="405" w:lineRule="atLeast"/>
              <w:ind w:left="0" w:right="0" w:firstLine="480"/>
              <w:rPr>
                <w:rFonts w:hint="eastAsia" w:ascii="sans-serif" w:hAnsi="sans-serif" w:eastAsia="宋体" w:cs="sans-serif"/>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4"/>
                <w:szCs w:val="24"/>
              </w:rPr>
              <w:t>（一）一般资格条件</w:t>
            </w:r>
            <w:r>
              <w:rPr>
                <w:rFonts w:hint="eastAsia" w:cs="宋体"/>
                <w:i w:val="0"/>
                <w:iCs w:val="0"/>
                <w:caps w:val="0"/>
                <w:color w:val="auto"/>
                <w:spacing w:val="0"/>
                <w:sz w:val="24"/>
                <w:szCs w:val="24"/>
                <w:lang w:eastAsia="zh-CN"/>
              </w:rPr>
              <w:t>（</w:t>
            </w:r>
            <w:r>
              <w:rPr>
                <w:rFonts w:hint="eastAsia" w:cs="宋体"/>
                <w:i w:val="0"/>
                <w:iCs w:val="0"/>
                <w:caps w:val="0"/>
                <w:color w:val="auto"/>
                <w:spacing w:val="0"/>
                <w:sz w:val="24"/>
                <w:szCs w:val="24"/>
                <w:lang w:val="en-US" w:eastAsia="zh-CN"/>
              </w:rPr>
              <w:t>可提供承诺函</w:t>
            </w:r>
            <w:r>
              <w:rPr>
                <w:rFonts w:hint="eastAsia" w:cs="宋体"/>
                <w:i w:val="0"/>
                <w:iCs w:val="0"/>
                <w:caps w:val="0"/>
                <w:color w:val="auto"/>
                <w:spacing w:val="0"/>
                <w:sz w:val="24"/>
                <w:szCs w:val="24"/>
                <w:lang w:eastAsia="zh-CN"/>
              </w:rPr>
              <w:t>）</w:t>
            </w:r>
          </w:p>
          <w:p w14:paraId="16053C58">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1.具有独立承担民事责任的能力；</w:t>
            </w:r>
          </w:p>
          <w:p w14:paraId="46931F7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2.具有良好的商业信誉和健全的财务会计制度；</w:t>
            </w:r>
          </w:p>
          <w:p w14:paraId="656BA70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3.具有履行合同所必需的设备和专业技术能力；</w:t>
            </w:r>
          </w:p>
          <w:p w14:paraId="0386C76D">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4.有依法缴纳税收和社会保障资金的良好记录；</w:t>
            </w:r>
          </w:p>
          <w:p w14:paraId="6E18364B">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5.参加政府采购活动前三年内，在经营活动中没有重大违法记录；</w:t>
            </w:r>
          </w:p>
          <w:p w14:paraId="11591FE2">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6.法律、行政法规规定的其他条件。</w:t>
            </w:r>
          </w:p>
          <w:p w14:paraId="55819748">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二</w:t>
            </w:r>
            <w:r>
              <w:rPr>
                <w:rFonts w:hint="eastAsia" w:ascii="宋体" w:hAnsi="宋体" w:eastAsia="宋体" w:cs="宋体"/>
                <w:i w:val="0"/>
                <w:iCs w:val="0"/>
                <w:caps w:val="0"/>
                <w:color w:val="auto"/>
                <w:spacing w:val="0"/>
                <w:sz w:val="24"/>
                <w:szCs w:val="24"/>
              </w:rPr>
              <w:t>）特定资格条件</w:t>
            </w:r>
          </w:p>
          <w:p w14:paraId="54BC3D15">
            <w:pPr>
              <w:pStyle w:val="11"/>
              <w:keepNext w:val="0"/>
              <w:keepLines w:val="0"/>
              <w:widowControl/>
              <w:suppressLineNumbers w:val="0"/>
              <w:spacing w:before="75" w:beforeAutospacing="0" w:after="75" w:afterAutospacing="0" w:line="405" w:lineRule="atLeast"/>
              <w:ind w:left="0" w:right="0" w:firstLine="480"/>
              <w:jc w:val="left"/>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lang w:val="en-US" w:eastAsia="zh-CN"/>
              </w:rPr>
              <w:t>提供2个相似案例的合同及发票复印件（加盖鲜章）</w:t>
            </w:r>
          </w:p>
          <w:p w14:paraId="25D7EBED">
            <w:pPr>
              <w:pStyle w:val="11"/>
              <w:keepNext w:val="0"/>
              <w:keepLines w:val="0"/>
              <w:widowControl/>
              <w:suppressLineNumbers w:val="0"/>
              <w:spacing w:before="75" w:beforeAutospacing="0" w:after="75" w:afterAutospacing="0" w:line="405" w:lineRule="atLeast"/>
              <w:ind w:left="0" w:right="0" w:firstLine="480"/>
              <w:jc w:val="left"/>
              <w:rPr>
                <w:rFonts w:hint="default"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二、遴选内容及要求</w:t>
            </w:r>
          </w:p>
          <w:tbl>
            <w:tblPr>
              <w:tblStyle w:val="13"/>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0"/>
              <w:gridCol w:w="2303"/>
              <w:gridCol w:w="1964"/>
              <w:gridCol w:w="1473"/>
              <w:gridCol w:w="2777"/>
            </w:tblGrid>
            <w:tr w14:paraId="5115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4BA1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color w:val="auto"/>
                    </w:rPr>
                  </w:pPr>
                  <w:r>
                    <w:rPr>
                      <w:rStyle w:val="16"/>
                      <w:rFonts w:hint="eastAsia" w:ascii="宋体" w:hAnsi="宋体" w:eastAsia="宋体" w:cs="宋体"/>
                      <w:i w:val="0"/>
                      <w:iCs w:val="0"/>
                      <w:caps w:val="0"/>
                      <w:color w:val="auto"/>
                      <w:spacing w:val="0"/>
                      <w:sz w:val="21"/>
                      <w:szCs w:val="21"/>
                    </w:rPr>
                    <w:t>包号</w:t>
                  </w:r>
                </w:p>
              </w:tc>
              <w:tc>
                <w:tcPr>
                  <w:tcW w:w="2303" w:type="dxa"/>
                  <w:tcBorders>
                    <w:top w:val="single" w:color="auto" w:sz="6" w:space="0"/>
                    <w:left w:val="nil"/>
                    <w:bottom w:val="single" w:color="auto" w:sz="6" w:space="0"/>
                    <w:right w:val="single" w:color="auto" w:sz="6" w:space="0"/>
                  </w:tcBorders>
                  <w:shd w:val="clear" w:color="auto" w:fill="auto"/>
                  <w:noWrap/>
                  <w:vAlign w:val="center"/>
                </w:tcPr>
                <w:p w14:paraId="13E881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color w:val="auto"/>
                    </w:rPr>
                  </w:pPr>
                  <w:r>
                    <w:rPr>
                      <w:rStyle w:val="16"/>
                      <w:rFonts w:hint="eastAsia" w:ascii="宋体" w:hAnsi="宋体" w:eastAsia="宋体" w:cs="宋体"/>
                      <w:i w:val="0"/>
                      <w:iCs w:val="0"/>
                      <w:caps w:val="0"/>
                      <w:color w:val="auto"/>
                      <w:spacing w:val="0"/>
                      <w:sz w:val="21"/>
                      <w:szCs w:val="21"/>
                    </w:rPr>
                    <w:t>项目名称</w:t>
                  </w:r>
                </w:p>
              </w:tc>
              <w:tc>
                <w:tcPr>
                  <w:tcW w:w="1964" w:type="dxa"/>
                  <w:tcBorders>
                    <w:top w:val="single" w:color="auto" w:sz="6" w:space="0"/>
                    <w:left w:val="nil"/>
                    <w:bottom w:val="single" w:color="auto" w:sz="6" w:space="0"/>
                    <w:right w:val="single" w:color="auto" w:sz="6" w:space="0"/>
                  </w:tcBorders>
                  <w:shd w:val="clear" w:color="auto" w:fill="auto"/>
                  <w:noWrap/>
                  <w:vAlign w:val="center"/>
                </w:tcPr>
                <w:p w14:paraId="2A2347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Style w:val="16"/>
                      <w:rFonts w:hint="eastAsia" w:ascii="宋体" w:hAnsi="宋体" w:eastAsia="宋体" w:cs="宋体"/>
                      <w:i w:val="0"/>
                      <w:iCs w:val="0"/>
                      <w:caps w:val="0"/>
                      <w:color w:val="auto"/>
                      <w:spacing w:val="0"/>
                      <w:sz w:val="21"/>
                      <w:szCs w:val="21"/>
                    </w:rPr>
                    <w:t>选定供应商数量</w:t>
                  </w:r>
                </w:p>
              </w:tc>
              <w:tc>
                <w:tcPr>
                  <w:tcW w:w="1473" w:type="dxa"/>
                  <w:tcBorders>
                    <w:top w:val="single" w:color="auto" w:sz="6" w:space="0"/>
                    <w:left w:val="nil"/>
                    <w:bottom w:val="single" w:color="auto" w:sz="6" w:space="0"/>
                    <w:right w:val="single" w:color="auto" w:sz="6" w:space="0"/>
                  </w:tcBorders>
                  <w:shd w:val="clear" w:color="auto" w:fill="auto"/>
                  <w:noWrap/>
                  <w:vAlign w:val="center"/>
                </w:tcPr>
                <w:p w14:paraId="1522F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color w:val="auto"/>
                    </w:rPr>
                  </w:pPr>
                  <w:r>
                    <w:rPr>
                      <w:rStyle w:val="16"/>
                      <w:rFonts w:hint="eastAsia" w:ascii="宋体" w:hAnsi="宋体" w:eastAsia="宋体" w:cs="宋体"/>
                      <w:i w:val="0"/>
                      <w:iCs w:val="0"/>
                      <w:caps w:val="0"/>
                      <w:color w:val="auto"/>
                      <w:spacing w:val="0"/>
                      <w:sz w:val="21"/>
                      <w:szCs w:val="21"/>
                    </w:rPr>
                    <w:t>服务期限</w:t>
                  </w:r>
                </w:p>
              </w:tc>
              <w:tc>
                <w:tcPr>
                  <w:tcW w:w="2777" w:type="dxa"/>
                  <w:tcBorders>
                    <w:top w:val="single" w:color="auto" w:sz="6" w:space="0"/>
                    <w:left w:val="nil"/>
                    <w:bottom w:val="single" w:color="auto" w:sz="6" w:space="0"/>
                    <w:right w:val="single" w:color="auto" w:sz="6" w:space="0"/>
                  </w:tcBorders>
                  <w:shd w:val="clear" w:color="auto" w:fill="auto"/>
                  <w:noWrap/>
                  <w:vAlign w:val="center"/>
                </w:tcPr>
                <w:p w14:paraId="58DC1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color w:val="auto"/>
                    </w:rPr>
                  </w:pPr>
                  <w:r>
                    <w:rPr>
                      <w:rStyle w:val="16"/>
                      <w:rFonts w:hint="eastAsia" w:ascii="宋体" w:hAnsi="宋体" w:eastAsia="宋体" w:cs="宋体"/>
                      <w:i w:val="0"/>
                      <w:iCs w:val="0"/>
                      <w:caps w:val="0"/>
                      <w:color w:val="auto"/>
                      <w:spacing w:val="0"/>
                      <w:sz w:val="21"/>
                      <w:szCs w:val="21"/>
                    </w:rPr>
                    <w:t>备注</w:t>
                  </w:r>
                </w:p>
              </w:tc>
            </w:tr>
            <w:tr w14:paraId="54CD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40" w:type="dxa"/>
                  <w:tcBorders>
                    <w:top w:val="nil"/>
                    <w:left w:val="single" w:color="auto" w:sz="6" w:space="0"/>
                    <w:bottom w:val="single" w:color="auto" w:sz="6" w:space="0"/>
                    <w:right w:val="single" w:color="auto" w:sz="6" w:space="0"/>
                  </w:tcBorders>
                  <w:shd w:val="clear" w:color="auto" w:fill="auto"/>
                  <w:noWrap/>
                  <w:vAlign w:val="center"/>
                </w:tcPr>
                <w:p w14:paraId="09C21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Fonts w:hint="eastAsia" w:ascii="宋体" w:hAnsi="宋体" w:eastAsia="宋体" w:cs="宋体"/>
                      <w:i w:val="0"/>
                      <w:iCs w:val="0"/>
                      <w:caps w:val="0"/>
                      <w:color w:val="auto"/>
                      <w:spacing w:val="0"/>
                      <w:sz w:val="21"/>
                      <w:szCs w:val="21"/>
                    </w:rPr>
                    <w:t>包1</w:t>
                  </w:r>
                </w:p>
              </w:tc>
              <w:tc>
                <w:tcPr>
                  <w:tcW w:w="2303" w:type="dxa"/>
                  <w:tcBorders>
                    <w:top w:val="nil"/>
                    <w:left w:val="nil"/>
                    <w:bottom w:val="single" w:color="auto" w:sz="6" w:space="0"/>
                    <w:right w:val="single" w:color="auto" w:sz="6" w:space="0"/>
                  </w:tcBorders>
                  <w:shd w:val="clear" w:color="auto" w:fill="auto"/>
                  <w:noWrap/>
                  <w:vAlign w:val="center"/>
                </w:tcPr>
                <w:p w14:paraId="3927E7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Fonts w:ascii="宋体" w:hAnsi="宋体" w:cs="宋体"/>
                      <w:color w:val="auto"/>
                      <w:szCs w:val="21"/>
                      <w:lang w:eastAsia="zh-Hans"/>
                    </w:rPr>
                    <w:t xml:space="preserve">  </w:t>
                  </w:r>
                  <w:r>
                    <w:rPr>
                      <w:rFonts w:hint="eastAsia" w:ascii="宋体" w:hAnsi="宋体" w:cs="宋体"/>
                      <w:color w:val="auto"/>
                      <w:szCs w:val="21"/>
                    </w:rPr>
                    <w:t>陪护服务</w:t>
                  </w:r>
                </w:p>
              </w:tc>
              <w:tc>
                <w:tcPr>
                  <w:tcW w:w="1964" w:type="dxa"/>
                  <w:tcBorders>
                    <w:top w:val="nil"/>
                    <w:left w:val="nil"/>
                    <w:bottom w:val="single" w:color="auto" w:sz="6" w:space="0"/>
                    <w:right w:val="single" w:color="auto" w:sz="6" w:space="0"/>
                  </w:tcBorders>
                  <w:shd w:val="clear" w:color="auto" w:fill="auto"/>
                  <w:noWrap/>
                  <w:vAlign w:val="center"/>
                </w:tcPr>
                <w:p w14:paraId="5984AB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eastAsia="宋体"/>
                      <w:color w:val="auto"/>
                      <w:lang w:eastAsia="zh-CN"/>
                    </w:rPr>
                  </w:pPr>
                  <w:r>
                    <w:rPr>
                      <w:rFonts w:hint="eastAsia"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lang w:eastAsia="zh-CN"/>
                    </w:rPr>
                    <w:t>名</w:t>
                  </w:r>
                </w:p>
              </w:tc>
              <w:tc>
                <w:tcPr>
                  <w:tcW w:w="1473" w:type="dxa"/>
                  <w:tcBorders>
                    <w:top w:val="nil"/>
                    <w:left w:val="nil"/>
                    <w:bottom w:val="single" w:color="auto" w:sz="6" w:space="0"/>
                    <w:right w:val="single" w:color="auto" w:sz="6" w:space="0"/>
                  </w:tcBorders>
                  <w:shd w:val="clear" w:color="auto" w:fill="auto"/>
                  <w:noWrap/>
                  <w:vAlign w:val="center"/>
                </w:tcPr>
                <w:p w14:paraId="0D799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color w:val="auto"/>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年</w:t>
                  </w:r>
                </w:p>
              </w:tc>
              <w:tc>
                <w:tcPr>
                  <w:tcW w:w="2777" w:type="dxa"/>
                  <w:tcBorders>
                    <w:top w:val="nil"/>
                    <w:left w:val="nil"/>
                    <w:bottom w:val="single" w:color="auto" w:sz="6" w:space="0"/>
                    <w:right w:val="single" w:color="auto" w:sz="6" w:space="0"/>
                  </w:tcBorders>
                  <w:shd w:val="clear" w:color="auto" w:fill="auto"/>
                  <w:noWrap/>
                  <w:vAlign w:val="center"/>
                </w:tcPr>
                <w:p w14:paraId="1664D6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eastAsia="宋体"/>
                      <w:color w:val="auto"/>
                      <w:lang w:val="en-US" w:eastAsia="zh-CN"/>
                    </w:rPr>
                  </w:pPr>
                  <w:r>
                    <w:rPr>
                      <w:rFonts w:hint="eastAsia" w:cs="宋体"/>
                      <w:color w:val="auto"/>
                      <w:sz w:val="18"/>
                      <w:szCs w:val="18"/>
                      <w:lang w:eastAsia="zh-CN"/>
                    </w:rPr>
                    <w:t>陪护</w:t>
                  </w:r>
                  <w:r>
                    <w:rPr>
                      <w:rFonts w:hint="eastAsia" w:ascii="宋体" w:hAnsi="宋体" w:eastAsia="宋体" w:cs="宋体"/>
                      <w:color w:val="auto"/>
                      <w:sz w:val="18"/>
                      <w:szCs w:val="18"/>
                      <w:lang w:val="en-US" w:eastAsia="zh-CN"/>
                    </w:rPr>
                    <w:t>公司</w:t>
                  </w:r>
                  <w:r>
                    <w:rPr>
                      <w:rFonts w:hint="eastAsia" w:ascii="宋体" w:hAnsi="宋体" w:eastAsia="宋体" w:cs="宋体"/>
                      <w:color w:val="auto"/>
                      <w:sz w:val="18"/>
                      <w:szCs w:val="18"/>
                    </w:rPr>
                    <w:t>与患者或家属</w:t>
                  </w:r>
                  <w:r>
                    <w:rPr>
                      <w:rFonts w:hint="eastAsia" w:ascii="宋体" w:hAnsi="宋体" w:eastAsia="宋体" w:cs="宋体"/>
                      <w:color w:val="auto"/>
                      <w:sz w:val="18"/>
                      <w:szCs w:val="18"/>
                      <w:lang w:eastAsia="zh-CN"/>
                    </w:rPr>
                    <w:t>自愿达成协议</w:t>
                  </w:r>
                  <w:r>
                    <w:rPr>
                      <w:rFonts w:hint="eastAsia" w:ascii="宋体" w:hAnsi="宋体" w:eastAsia="宋体" w:cs="宋体"/>
                      <w:color w:val="auto"/>
                      <w:sz w:val="18"/>
                      <w:szCs w:val="18"/>
                      <w:lang w:val="en-US" w:eastAsia="zh-CN"/>
                    </w:rPr>
                    <w:t>签订同意书后，</w:t>
                  </w:r>
                  <w:r>
                    <w:rPr>
                      <w:rFonts w:hint="eastAsia" w:ascii="宋体" w:hAnsi="宋体" w:eastAsia="宋体" w:cs="宋体"/>
                      <w:color w:val="auto"/>
                      <w:sz w:val="18"/>
                      <w:szCs w:val="18"/>
                    </w:rPr>
                    <w:t>为患者提供护工陪护服务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收取服务费（具体收费标准</w:t>
                  </w:r>
                  <w:r>
                    <w:rPr>
                      <w:rFonts w:hint="eastAsia" w:cs="宋体"/>
                      <w:color w:val="auto"/>
                      <w:sz w:val="18"/>
                      <w:szCs w:val="18"/>
                      <w:lang w:val="en-US" w:eastAsia="zh-CN"/>
                    </w:rPr>
                    <w:t>须</w:t>
                  </w:r>
                  <w:r>
                    <w:rPr>
                      <w:rFonts w:hint="eastAsia" w:ascii="宋体" w:hAnsi="宋体" w:eastAsia="宋体" w:cs="宋体"/>
                      <w:color w:val="auto"/>
                      <w:sz w:val="18"/>
                      <w:szCs w:val="18"/>
                      <w:lang w:val="en-US" w:eastAsia="zh-CN"/>
                    </w:rPr>
                    <w:t>中标人报采购人备案，明码标价），并开具收款凭证。</w:t>
                  </w:r>
                </w:p>
              </w:tc>
            </w:tr>
          </w:tbl>
          <w:p w14:paraId="1DE3F8D3">
            <w:pPr>
              <w:keepNext w:val="0"/>
              <w:keepLines w:val="0"/>
              <w:widowControl/>
              <w:suppressLineNumbers w:val="0"/>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三、资金来源：供应商在本项目中取得的报酬来源于接受陪护服务的患者或家属，采购人不支付任何费用。</w:t>
            </w:r>
          </w:p>
          <w:p w14:paraId="70FD539B">
            <w:pPr>
              <w:spacing w:line="400" w:lineRule="exact"/>
              <w:ind w:firstLine="480" w:firstLineChars="200"/>
              <w:rPr>
                <w:rFonts w:hint="default" w:ascii="sans-serif" w:hAnsi="sans-serif" w:eastAsia="sans-serif" w:cs="sans-serif"/>
                <w:i w:val="0"/>
                <w:iCs w:val="0"/>
                <w:caps w:val="0"/>
                <w:color w:val="auto"/>
                <w:spacing w:val="0"/>
              </w:rPr>
            </w:pPr>
            <w:r>
              <w:rPr>
                <w:rFonts w:hint="eastAsia" w:ascii="宋体" w:hAnsi="宋体" w:cs="宋体"/>
                <w:i w:val="0"/>
                <w:iCs w:val="0"/>
                <w:caps w:val="0"/>
                <w:color w:val="auto"/>
                <w:spacing w:val="0"/>
                <w:sz w:val="24"/>
                <w:szCs w:val="24"/>
                <w:lang w:eastAsia="zh-CN"/>
              </w:rPr>
              <w:t>四</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其它有关</w:t>
            </w:r>
            <w:r>
              <w:rPr>
                <w:rFonts w:hint="eastAsia" w:ascii="宋体" w:hAnsi="宋体" w:eastAsia="宋体" w:cs="宋体"/>
                <w:i w:val="0"/>
                <w:iCs w:val="0"/>
                <w:caps w:val="0"/>
                <w:color w:val="auto"/>
                <w:spacing w:val="0"/>
                <w:sz w:val="24"/>
                <w:szCs w:val="24"/>
              </w:rPr>
              <w:t>规定</w:t>
            </w:r>
          </w:p>
          <w:p w14:paraId="78A44484">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（一）单位负责人（法定代表人）为同一人或者存在直接控股、管理关系的不同供应商，不得参加同一（包）下的采购活动，否则均为无效响应。</w:t>
            </w:r>
          </w:p>
          <w:p w14:paraId="38F274C1">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（二）</w:t>
            </w:r>
            <w:r>
              <w:rPr>
                <w:rFonts w:hint="eastAsia" w:ascii="宋体" w:hAnsi="宋体" w:eastAsia="宋体" w:cs="宋体"/>
                <w:i w:val="0"/>
                <w:iCs w:val="0"/>
                <w:caps w:val="0"/>
                <w:color w:val="auto"/>
                <w:spacing w:val="0"/>
                <w:sz w:val="24"/>
                <w:szCs w:val="24"/>
              </w:rPr>
              <w:t>超过响应文件截止时间递交的响应文件，恕不接收</w:t>
            </w:r>
            <w:r>
              <w:rPr>
                <w:rFonts w:hint="eastAsia" w:ascii="宋体" w:hAnsi="宋体" w:eastAsia="宋体" w:cs="宋体"/>
                <w:i w:val="0"/>
                <w:iCs w:val="0"/>
                <w:caps w:val="0"/>
                <w:color w:val="auto"/>
                <w:spacing w:val="0"/>
                <w:sz w:val="24"/>
                <w:szCs w:val="24"/>
                <w:lang w:eastAsia="zh-CN"/>
              </w:rPr>
              <w:t>。</w:t>
            </w:r>
          </w:p>
          <w:p w14:paraId="1928EFCA">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（三）遴选</w:t>
            </w:r>
            <w:r>
              <w:rPr>
                <w:rFonts w:hint="eastAsia" w:ascii="宋体" w:hAnsi="宋体" w:eastAsia="宋体" w:cs="宋体"/>
                <w:i w:val="0"/>
                <w:iCs w:val="0"/>
                <w:caps w:val="0"/>
                <w:color w:val="auto"/>
                <w:spacing w:val="0"/>
                <w:sz w:val="24"/>
                <w:szCs w:val="24"/>
              </w:rPr>
              <w:t>费用：无论</w:t>
            </w:r>
            <w:r>
              <w:rPr>
                <w:rFonts w:hint="eastAsia" w:ascii="宋体" w:hAnsi="宋体" w:eastAsia="宋体" w:cs="宋体"/>
                <w:i w:val="0"/>
                <w:iCs w:val="0"/>
                <w:caps w:val="0"/>
                <w:color w:val="auto"/>
                <w:spacing w:val="0"/>
                <w:sz w:val="24"/>
                <w:szCs w:val="24"/>
                <w:lang w:eastAsia="zh-CN"/>
              </w:rPr>
              <w:t>遴选</w:t>
            </w:r>
            <w:r>
              <w:rPr>
                <w:rFonts w:hint="eastAsia" w:ascii="宋体" w:hAnsi="宋体" w:eastAsia="宋体" w:cs="宋体"/>
                <w:i w:val="0"/>
                <w:iCs w:val="0"/>
                <w:caps w:val="0"/>
                <w:color w:val="auto"/>
                <w:spacing w:val="0"/>
                <w:sz w:val="24"/>
                <w:szCs w:val="24"/>
              </w:rPr>
              <w:t>结果如何，供应商参与本项目</w:t>
            </w:r>
            <w:r>
              <w:rPr>
                <w:rFonts w:hint="eastAsia" w:ascii="宋体" w:hAnsi="宋体" w:eastAsia="宋体" w:cs="宋体"/>
                <w:i w:val="0"/>
                <w:iCs w:val="0"/>
                <w:caps w:val="0"/>
                <w:color w:val="auto"/>
                <w:spacing w:val="0"/>
                <w:sz w:val="24"/>
                <w:szCs w:val="24"/>
                <w:lang w:eastAsia="zh-CN"/>
              </w:rPr>
              <w:t>遴选</w:t>
            </w:r>
            <w:r>
              <w:rPr>
                <w:rFonts w:hint="eastAsia" w:ascii="宋体" w:hAnsi="宋体" w:eastAsia="宋体" w:cs="宋体"/>
                <w:i w:val="0"/>
                <w:iCs w:val="0"/>
                <w:caps w:val="0"/>
                <w:color w:val="auto"/>
                <w:spacing w:val="0"/>
                <w:sz w:val="24"/>
                <w:szCs w:val="24"/>
              </w:rPr>
              <w:t>的所有费用均应由供应商自行承担。</w:t>
            </w:r>
          </w:p>
          <w:p w14:paraId="41776F7A">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四</w:t>
            </w:r>
            <w:r>
              <w:rPr>
                <w:rFonts w:hint="eastAsia" w:ascii="宋体" w:hAnsi="宋体" w:eastAsia="宋体" w:cs="宋体"/>
                <w:i w:val="0"/>
                <w:iCs w:val="0"/>
                <w:caps w:val="0"/>
                <w:color w:val="auto"/>
                <w:spacing w:val="0"/>
                <w:sz w:val="24"/>
                <w:szCs w:val="24"/>
              </w:rPr>
              <w:t>）供应商保证参与报名资料、响应文件资料真实有效，一旦发现弄虚作假，将取消供应商参与资格，列入医院采购黑名单。</w:t>
            </w:r>
          </w:p>
          <w:p w14:paraId="1026CC4D">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五</w:t>
            </w:r>
            <w:r>
              <w:rPr>
                <w:rFonts w:hint="eastAsia" w:ascii="宋体" w:hAnsi="宋体" w:eastAsia="宋体" w:cs="宋体"/>
                <w:i w:val="0"/>
                <w:iCs w:val="0"/>
                <w:caps w:val="0"/>
                <w:color w:val="auto"/>
                <w:spacing w:val="0"/>
                <w:sz w:val="24"/>
                <w:szCs w:val="24"/>
              </w:rPr>
              <w:t>）不接受联合体参与投标，否则按无效处理。</w:t>
            </w:r>
          </w:p>
          <w:p w14:paraId="197C6F0C">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六</w:t>
            </w:r>
            <w:r>
              <w:rPr>
                <w:rFonts w:hint="eastAsia" w:ascii="宋体" w:hAnsi="宋体" w:eastAsia="宋体" w:cs="宋体"/>
                <w:i w:val="0"/>
                <w:iCs w:val="0"/>
                <w:caps w:val="0"/>
                <w:color w:val="auto"/>
                <w:spacing w:val="0"/>
                <w:sz w:val="24"/>
                <w:szCs w:val="24"/>
              </w:rPr>
              <w:t>）不接受合同分包</w:t>
            </w:r>
            <w:r>
              <w:rPr>
                <w:rFonts w:hint="eastAsia" w:cs="宋体"/>
                <w:i w:val="0"/>
                <w:iCs w:val="0"/>
                <w:caps w:val="0"/>
                <w:color w:val="auto"/>
                <w:spacing w:val="0"/>
                <w:sz w:val="24"/>
                <w:szCs w:val="24"/>
                <w:lang w:eastAsia="zh-CN"/>
              </w:rPr>
              <w:t>、转包</w:t>
            </w:r>
            <w:r>
              <w:rPr>
                <w:rFonts w:hint="eastAsia" w:ascii="宋体" w:hAnsi="宋体" w:eastAsia="宋体" w:cs="宋体"/>
                <w:i w:val="0"/>
                <w:iCs w:val="0"/>
                <w:caps w:val="0"/>
                <w:color w:val="auto"/>
                <w:spacing w:val="0"/>
                <w:sz w:val="24"/>
                <w:szCs w:val="24"/>
              </w:rPr>
              <w:t>，否则按无效处理。</w:t>
            </w:r>
          </w:p>
          <w:p w14:paraId="6EFDF59B">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Style w:val="16"/>
                <w:rFonts w:hint="eastAsia" w:cs="宋体"/>
                <w:i w:val="0"/>
                <w:iCs w:val="0"/>
                <w:caps w:val="0"/>
                <w:color w:val="auto"/>
                <w:spacing w:val="0"/>
                <w:sz w:val="24"/>
                <w:szCs w:val="24"/>
                <w:lang w:eastAsia="zh-CN"/>
              </w:rPr>
              <w:t>五</w:t>
            </w:r>
            <w:r>
              <w:rPr>
                <w:rStyle w:val="16"/>
                <w:rFonts w:hint="eastAsia" w:ascii="宋体" w:hAnsi="宋体" w:eastAsia="宋体" w:cs="宋体"/>
                <w:i w:val="0"/>
                <w:iCs w:val="0"/>
                <w:caps w:val="0"/>
                <w:color w:val="auto"/>
                <w:spacing w:val="0"/>
                <w:sz w:val="24"/>
                <w:szCs w:val="24"/>
              </w:rPr>
              <w:t>、有关说明</w:t>
            </w:r>
          </w:p>
          <w:p w14:paraId="53C3BD1E">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）凡有意参加</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的供应商，请在</w:t>
            </w:r>
            <w:r>
              <w:rPr>
                <w:rFonts w:hint="eastAsia" w:cs="宋体"/>
                <w:color w:val="auto"/>
                <w:sz w:val="24"/>
                <w:szCs w:val="24"/>
                <w:lang w:val="en-US" w:eastAsia="zh-CN"/>
              </w:rPr>
              <w:t>院内官网上</w:t>
            </w:r>
            <w:r>
              <w:rPr>
                <w:rFonts w:hint="eastAsia" w:ascii="宋体" w:hAnsi="宋体" w:eastAsia="宋体" w:cs="宋体"/>
                <w:color w:val="auto"/>
                <w:sz w:val="24"/>
                <w:szCs w:val="24"/>
                <w:lang w:val="en-US" w:eastAsia="zh-CN"/>
              </w:rPr>
              <w:t>下载</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文件以及</w:t>
            </w:r>
            <w:r>
              <w:rPr>
                <w:rFonts w:hint="eastAsia" w:cs="宋体"/>
                <w:color w:val="auto"/>
                <w:sz w:val="24"/>
                <w:szCs w:val="24"/>
                <w:lang w:val="en-US" w:eastAsia="zh-CN"/>
              </w:rPr>
              <w:t>涉及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前公布的所有项目资料，无论供应商下载与否，均视为已知晓所有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实质性要求内容。</w:t>
            </w:r>
          </w:p>
          <w:p w14:paraId="6FFE4119">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（二）供应商参加遴选时间及地点</w:t>
            </w:r>
          </w:p>
          <w:p w14:paraId="7CBBB20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cs="宋体"/>
                <w:i w:val="0"/>
                <w:iCs w:val="0"/>
                <w:caps w:val="0"/>
                <w:color w:val="auto"/>
                <w:spacing w:val="0"/>
                <w:sz w:val="24"/>
                <w:szCs w:val="24"/>
                <w:lang w:eastAsia="zh-CN"/>
              </w:rPr>
              <w:t>北京</w:t>
            </w:r>
            <w:r>
              <w:rPr>
                <w:rFonts w:hint="eastAsia" w:ascii="宋体" w:hAnsi="宋体" w:eastAsia="宋体" w:cs="宋体"/>
                <w:i w:val="0"/>
                <w:iCs w:val="0"/>
                <w:caps w:val="0"/>
                <w:color w:val="auto"/>
                <w:spacing w:val="0"/>
                <w:sz w:val="24"/>
                <w:szCs w:val="24"/>
              </w:rPr>
              <w:t>时间：2025年</w:t>
            </w:r>
            <w:r>
              <w:rPr>
                <w:rFonts w:hint="eastAsia" w:cs="宋体"/>
                <w:i w:val="0"/>
                <w:iCs w:val="0"/>
                <w:caps w:val="0"/>
                <w:color w:val="auto"/>
                <w:spacing w:val="0"/>
                <w:sz w:val="24"/>
                <w:szCs w:val="24"/>
                <w:lang w:val="en-US" w:eastAsia="zh-CN"/>
              </w:rPr>
              <w:t xml:space="preserve"> 10</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27</w:t>
            </w:r>
            <w:r>
              <w:rPr>
                <w:rFonts w:hint="eastAsia" w:ascii="宋体" w:hAnsi="宋体" w:eastAsia="宋体" w:cs="宋体"/>
                <w:i w:val="0"/>
                <w:iCs w:val="0"/>
                <w:caps w:val="0"/>
                <w:color w:val="auto"/>
                <w:spacing w:val="0"/>
                <w:sz w:val="24"/>
                <w:szCs w:val="24"/>
              </w:rPr>
              <w:t>日</w:t>
            </w:r>
            <w:r>
              <w:rPr>
                <w:rFonts w:hint="eastAsia" w:cs="宋体"/>
                <w:i w:val="0"/>
                <w:iCs w:val="0"/>
                <w:caps w:val="0"/>
                <w:color w:val="auto"/>
                <w:spacing w:val="0"/>
                <w:sz w:val="24"/>
                <w:szCs w:val="24"/>
                <w:lang w:val="en-US" w:eastAsia="zh-CN"/>
              </w:rPr>
              <w:t xml:space="preserve"> 15:00 </w:t>
            </w:r>
          </w:p>
          <w:p w14:paraId="12DA54D8">
            <w:pPr>
              <w:pStyle w:val="11"/>
              <w:keepNext w:val="0"/>
              <w:keepLines w:val="0"/>
              <w:widowControl/>
              <w:suppressLineNumbers w:val="0"/>
              <w:spacing w:before="75" w:beforeAutospacing="0" w:after="75" w:afterAutospacing="0" w:line="405" w:lineRule="atLeast"/>
              <w:ind w:left="0" w:right="0" w:firstLine="480"/>
              <w:rPr>
                <w:rFonts w:hint="eastAsia"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地点：</w:t>
            </w:r>
            <w:r>
              <w:rPr>
                <w:rFonts w:hint="eastAsia" w:cs="宋体"/>
                <w:i w:val="0"/>
                <w:iCs w:val="0"/>
                <w:caps w:val="0"/>
                <w:color w:val="auto"/>
                <w:spacing w:val="0"/>
                <w:sz w:val="24"/>
                <w:szCs w:val="24"/>
                <w:lang w:val="en-US" w:eastAsia="zh-CN"/>
              </w:rPr>
              <w:t>重庆市九龙坡区中医院综合楼7楼会议室</w:t>
            </w:r>
          </w:p>
          <w:p w14:paraId="586967C1">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Style w:val="16"/>
                <w:rFonts w:hint="eastAsia" w:ascii="宋体" w:hAnsi="宋体" w:eastAsia="宋体" w:cs="宋体"/>
                <w:i w:val="0"/>
                <w:iCs w:val="0"/>
                <w:caps w:val="0"/>
                <w:color w:val="auto"/>
                <w:spacing w:val="0"/>
                <w:sz w:val="24"/>
                <w:szCs w:val="24"/>
              </w:rPr>
              <w:t>（注：请参加遴选的供应商法人或授权代表随身携带身份证原件）</w:t>
            </w:r>
          </w:p>
          <w:p w14:paraId="7E1DD180">
            <w:pPr>
              <w:pStyle w:val="5"/>
              <w:keepNext w:val="0"/>
              <w:keepLines w:val="0"/>
              <w:widowControl/>
              <w:suppressLineNumbers w:val="0"/>
              <w:spacing w:after="0" w:afterAutospacing="0" w:line="405" w:lineRule="atLeast"/>
              <w:ind w:left="0" w:firstLine="480"/>
              <w:rPr>
                <w:rFonts w:hint="default" w:ascii="sans-serif" w:hAnsi="sans-serif" w:eastAsia="sans-serif" w:cs="sans-serif"/>
                <w:i w:val="0"/>
                <w:iCs w:val="0"/>
                <w:caps w:val="0"/>
                <w:color w:val="auto"/>
                <w:spacing w:val="0"/>
              </w:rPr>
            </w:pPr>
            <w:r>
              <w:rPr>
                <w:rFonts w:hint="eastAsia" w:ascii="宋体" w:hAnsi="宋体" w:cs="宋体"/>
                <w:i w:val="0"/>
                <w:iCs w:val="0"/>
                <w:caps w:val="0"/>
                <w:color w:val="auto"/>
                <w:spacing w:val="0"/>
                <w:sz w:val="24"/>
                <w:szCs w:val="24"/>
                <w:lang w:eastAsia="zh-CN"/>
              </w:rPr>
              <w:t>六</w:t>
            </w:r>
            <w:r>
              <w:rPr>
                <w:rFonts w:hint="eastAsia" w:ascii="宋体" w:hAnsi="宋体" w:eastAsia="宋体" w:cs="宋体"/>
                <w:i w:val="0"/>
                <w:iCs w:val="0"/>
                <w:caps w:val="0"/>
                <w:color w:val="auto"/>
                <w:spacing w:val="0"/>
                <w:sz w:val="24"/>
                <w:szCs w:val="24"/>
              </w:rPr>
              <w:t>、联系方式</w:t>
            </w:r>
          </w:p>
          <w:p w14:paraId="74E31875">
            <w:pPr>
              <w:pStyle w:val="11"/>
              <w:keepNext w:val="0"/>
              <w:keepLines w:val="0"/>
              <w:widowControl/>
              <w:suppressLineNumbers w:val="0"/>
              <w:spacing w:before="75" w:beforeAutospacing="0" w:after="75" w:afterAutospacing="0" w:line="405" w:lineRule="atLeast"/>
              <w:ind w:left="0" w:right="0" w:firstLine="480"/>
              <w:rPr>
                <w:rFonts w:hint="eastAsia" w:ascii="宋体" w:hAnsi="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联系电话：023-</w:t>
            </w:r>
            <w:r>
              <w:rPr>
                <w:rFonts w:hint="eastAsia" w:cs="宋体"/>
                <w:i w:val="0"/>
                <w:iCs w:val="0"/>
                <w:caps w:val="0"/>
                <w:color w:val="auto"/>
                <w:spacing w:val="0"/>
                <w:sz w:val="24"/>
                <w:szCs w:val="24"/>
                <w:lang w:val="en-US" w:eastAsia="zh-CN"/>
              </w:rPr>
              <w:t>89068484</w:t>
            </w:r>
            <w:r>
              <w:rPr>
                <w:rFonts w:hint="eastAsia" w:ascii="宋体" w:hAnsi="宋体" w:eastAsia="宋体" w:cs="宋体"/>
                <w:i w:val="0"/>
                <w:iCs w:val="0"/>
                <w:caps w:val="0"/>
                <w:color w:val="auto"/>
                <w:spacing w:val="0"/>
                <w:sz w:val="24"/>
                <w:szCs w:val="24"/>
              </w:rPr>
              <w:t>联系人：</w:t>
            </w:r>
            <w:r>
              <w:rPr>
                <w:rFonts w:hint="eastAsia" w:cs="宋体"/>
                <w:i w:val="0"/>
                <w:iCs w:val="0"/>
                <w:caps w:val="0"/>
                <w:color w:val="auto"/>
                <w:spacing w:val="0"/>
                <w:sz w:val="24"/>
                <w:szCs w:val="24"/>
                <w:lang w:val="en-US" w:eastAsia="zh-CN"/>
              </w:rPr>
              <w:t>滕</w:t>
            </w:r>
            <w:r>
              <w:rPr>
                <w:rFonts w:hint="eastAsia" w:ascii="宋体" w:hAnsi="宋体" w:cs="宋体"/>
                <w:i w:val="0"/>
                <w:iCs w:val="0"/>
                <w:caps w:val="0"/>
                <w:color w:val="auto"/>
                <w:spacing w:val="0"/>
                <w:sz w:val="24"/>
                <w:szCs w:val="24"/>
                <w:lang w:eastAsia="zh-CN"/>
              </w:rPr>
              <w:t>老师</w:t>
            </w:r>
          </w:p>
          <w:p w14:paraId="7FE74424">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地址：</w:t>
            </w:r>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w:t>
            </w:r>
          </w:p>
          <w:p w14:paraId="2B36AEBC">
            <w:pPr>
              <w:pStyle w:val="11"/>
              <w:keepNext w:val="0"/>
              <w:keepLines w:val="0"/>
              <w:widowControl/>
              <w:suppressLineNumbers w:val="0"/>
              <w:spacing w:before="75" w:beforeAutospacing="0" w:after="75" w:afterAutospacing="0" w:line="405" w:lineRule="atLeast"/>
              <w:ind w:left="0" w:right="0" w:firstLine="585"/>
              <w:rPr>
                <w:rFonts w:hint="default" w:ascii="方正小标宋_GBK" w:hAnsi="方正小标宋_GBK" w:eastAsia="宋体" w:cs="方正小标宋_GBK"/>
                <w:b/>
                <w:bCs/>
                <w:color w:val="auto"/>
                <w:kern w:val="2"/>
                <w:sz w:val="36"/>
                <w:szCs w:val="36"/>
                <w:highlight w:val="none"/>
                <w:lang w:val="en-US" w:eastAsia="zh-CN" w:bidi="ar-SA"/>
              </w:rPr>
            </w:pPr>
            <w:r>
              <w:rPr>
                <w:rFonts w:hint="eastAsia" w:cs="宋体"/>
                <w:b/>
                <w:i w:val="0"/>
                <w:iCs w:val="0"/>
                <w:caps w:val="0"/>
                <w:color w:val="auto"/>
                <w:spacing w:val="0"/>
                <w:sz w:val="24"/>
                <w:szCs w:val="24"/>
                <w:lang w:val="en-US" w:eastAsia="zh-CN" w:bidi="ar-SA"/>
              </w:rPr>
              <w:t>七</w:t>
            </w:r>
            <w:r>
              <w:rPr>
                <w:rFonts w:hint="eastAsia" w:ascii="宋体" w:hAnsi="宋体" w:eastAsia="宋体" w:cs="宋体"/>
                <w:b/>
                <w:i w:val="0"/>
                <w:iCs w:val="0"/>
                <w:caps w:val="0"/>
                <w:color w:val="auto"/>
                <w:spacing w:val="0"/>
                <w:sz w:val="24"/>
                <w:szCs w:val="24"/>
                <w:lang w:val="en-US" w:eastAsia="zh-CN" w:bidi="ar-SA"/>
              </w:rPr>
              <w:t>、</w:t>
            </w:r>
            <w:r>
              <w:rPr>
                <w:rFonts w:hint="eastAsia" w:ascii="宋体" w:hAnsi="宋体" w:eastAsia="宋体" w:cs="宋体"/>
                <w:i w:val="0"/>
                <w:iCs w:val="0"/>
                <w:caps w:val="0"/>
                <w:color w:val="auto"/>
                <w:spacing w:val="0"/>
                <w:sz w:val="24"/>
                <w:szCs w:val="24"/>
              </w:rPr>
              <w:t>如有异议，请于</w:t>
            </w:r>
            <w:r>
              <w:rPr>
                <w:rFonts w:hint="eastAsia" w:ascii="宋体" w:hAnsi="宋体" w:cs="宋体"/>
                <w:i w:val="0"/>
                <w:iCs w:val="0"/>
                <w:caps w:val="0"/>
                <w:color w:val="auto"/>
                <w:spacing w:val="0"/>
                <w:sz w:val="24"/>
                <w:szCs w:val="24"/>
                <w:lang w:eastAsia="zh-CN"/>
              </w:rPr>
              <w:t>采购开标前</w:t>
            </w:r>
            <w:r>
              <w:rPr>
                <w:rFonts w:hint="eastAsia" w:ascii="宋体" w:hAnsi="宋体" w:eastAsia="宋体" w:cs="宋体"/>
                <w:i w:val="0"/>
                <w:iCs w:val="0"/>
                <w:caps w:val="0"/>
                <w:color w:val="auto"/>
                <w:spacing w:val="0"/>
                <w:sz w:val="24"/>
                <w:szCs w:val="24"/>
              </w:rPr>
              <w:t>以实名书面（包括联系人、地址、联系电话）形式将意见反馈至</w:t>
            </w:r>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w:t>
            </w:r>
            <w:r>
              <w:rPr>
                <w:rFonts w:hint="eastAsia" w:cs="宋体"/>
                <w:i w:val="0"/>
                <w:iCs w:val="0"/>
                <w:caps w:val="0"/>
                <w:color w:val="auto"/>
                <w:spacing w:val="0"/>
                <w:sz w:val="24"/>
                <w:szCs w:val="24"/>
                <w:lang w:val="en-US" w:eastAsia="zh-CN"/>
              </w:rPr>
              <w:t xml:space="preserve">  护理部</w:t>
            </w:r>
            <w:r>
              <w:rPr>
                <w:rFonts w:hint="eastAsia" w:ascii="宋体" w:hAnsi="宋体" w:eastAsia="宋体" w:cs="宋体"/>
                <w:i w:val="0"/>
                <w:iCs w:val="0"/>
                <w:caps w:val="0"/>
                <w:color w:val="auto"/>
                <w:spacing w:val="0"/>
                <w:sz w:val="24"/>
                <w:szCs w:val="24"/>
              </w:rPr>
              <w:t xml:space="preserve"> 联系电话：023-</w:t>
            </w:r>
            <w:r>
              <w:rPr>
                <w:rFonts w:hint="eastAsia" w:cs="宋体"/>
                <w:i w:val="0"/>
                <w:iCs w:val="0"/>
                <w:caps w:val="0"/>
                <w:color w:val="auto"/>
                <w:spacing w:val="0"/>
                <w:sz w:val="24"/>
                <w:szCs w:val="24"/>
                <w:lang w:val="en-US" w:eastAsia="zh-CN"/>
              </w:rPr>
              <w:t>89068484</w:t>
            </w:r>
          </w:p>
          <w:p w14:paraId="26AC9404">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p>
          <w:p w14:paraId="2861A6F2">
            <w:pPr>
              <w:pageBreakBefore w:val="0"/>
              <w:kinsoku/>
              <w:overflowPunct/>
              <w:topLinePunct w:val="0"/>
              <w:autoSpaceDE/>
              <w:autoSpaceDN/>
              <w:bidi w:val="0"/>
              <w:snapToGrid w:val="0"/>
              <w:spacing w:before="0" w:after="0"/>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br w:type="page"/>
            </w:r>
          </w:p>
          <w:p w14:paraId="319078C4">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t>第二篇  供应商须知</w:t>
            </w:r>
          </w:p>
          <w:p w14:paraId="0567787C">
            <w:pPr>
              <w:pStyle w:val="5"/>
              <w:pageBreakBefore w:val="0"/>
              <w:tabs>
                <w:tab w:val="left" w:pos="2640"/>
              </w:tabs>
              <w:kinsoku/>
              <w:overflowPunct/>
              <w:topLinePunct w:val="0"/>
              <w:autoSpaceDE/>
              <w:autoSpaceDN/>
              <w:bidi w:val="0"/>
              <w:snapToGrid w:val="0"/>
              <w:spacing w:before="0" w:after="0" w:line="400" w:lineRule="exact"/>
              <w:ind w:firstLine="482" w:firstLineChars="200"/>
              <w:textAlignment w:val="auto"/>
              <w:rPr>
                <w:rFonts w:hint="eastAsia" w:ascii="宋体" w:hAnsi="宋体" w:cs="宋体"/>
                <w:color w:val="auto"/>
                <w:sz w:val="24"/>
                <w:szCs w:val="24"/>
                <w:highlight w:val="none"/>
              </w:rPr>
            </w:pPr>
            <w:bookmarkStart w:id="7" w:name="_Toc342913389"/>
            <w:bookmarkEnd w:id="7"/>
            <w:bookmarkStart w:id="8" w:name="_Toc403569778"/>
            <w:bookmarkEnd w:id="8"/>
            <w:bookmarkStart w:id="9" w:name="_Toc403569777"/>
            <w:bookmarkEnd w:id="9"/>
            <w:bookmarkStart w:id="10" w:name="_Toc342913391"/>
            <w:bookmarkEnd w:id="10"/>
            <w:r>
              <w:rPr>
                <w:rFonts w:hint="eastAsia" w:ascii="宋体" w:hAnsi="宋体" w:cs="宋体"/>
                <w:color w:val="auto"/>
                <w:sz w:val="24"/>
                <w:szCs w:val="24"/>
                <w:highlight w:val="none"/>
              </w:rPr>
              <w:t>一、遴选文件</w:t>
            </w:r>
          </w:p>
          <w:p w14:paraId="6CF6952A">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（一）采购人所作的一切有效的书面通知、修改及补充，都是遴选文件不可分割的部分。</w:t>
            </w:r>
          </w:p>
          <w:p w14:paraId="00D4DF89">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bookmarkStart w:id="11" w:name="_Toc318159780"/>
            <w:bookmarkStart w:id="12" w:name="_Toc318159160"/>
            <w:bookmarkStart w:id="13" w:name="_Toc318166429"/>
            <w:bookmarkStart w:id="14" w:name="_Toc318159349"/>
            <w:r>
              <w:rPr>
                <w:rFonts w:hint="eastAsia" w:ascii="宋体" w:hAnsi="宋体" w:cs="宋体"/>
                <w:color w:val="auto"/>
                <w:sz w:val="24"/>
                <w:szCs w:val="24"/>
                <w:highlight w:val="none"/>
              </w:rPr>
              <w:t>（二）遴选文件的解释：供应商如对遴选文件有疑问，必须以书面形式在开始遴选前1个工作日向采购人提出，采购人可视情况做出处理或答复。如供应商未提出疑问，视为完全理解并同意本遴选文件。一经进入采购程序，即视为供应商已详细阅读全部文件资料，完全理解遴选文件所有条款内容。</w:t>
            </w:r>
          </w:p>
          <w:bookmarkEnd w:id="11"/>
          <w:bookmarkEnd w:id="12"/>
          <w:bookmarkEnd w:id="13"/>
          <w:bookmarkEnd w:id="14"/>
          <w:p w14:paraId="0519878D">
            <w:pPr>
              <w:pStyle w:val="5"/>
              <w:pageBreakBefore w:val="0"/>
              <w:kinsoku/>
              <w:overflowPunct/>
              <w:topLinePunct w:val="0"/>
              <w:autoSpaceDE/>
              <w:autoSpaceDN/>
              <w:bidi w:val="0"/>
              <w:spacing w:before="0" w:after="0" w:line="400" w:lineRule="exact"/>
              <w:ind w:firstLine="482" w:firstLineChars="200"/>
              <w:textAlignment w:val="auto"/>
              <w:rPr>
                <w:rFonts w:hint="eastAsia" w:ascii="宋体" w:hAnsi="宋体" w:cs="宋体"/>
                <w:color w:val="auto"/>
                <w:sz w:val="24"/>
                <w:szCs w:val="24"/>
                <w:highlight w:val="none"/>
              </w:rPr>
            </w:pPr>
            <w:bookmarkStart w:id="15" w:name="_Toc179714297"/>
            <w:bookmarkEnd w:id="15"/>
            <w:bookmarkStart w:id="16" w:name="_Toc403569779"/>
            <w:bookmarkEnd w:id="16"/>
            <w:bookmarkStart w:id="17" w:name="_Toc102227318"/>
            <w:bookmarkEnd w:id="17"/>
            <w:bookmarkStart w:id="18" w:name="_Toc342913392"/>
            <w:bookmarkEnd w:id="18"/>
            <w:r>
              <w:rPr>
                <w:rFonts w:hint="eastAsia" w:ascii="宋体" w:hAnsi="宋体" w:cs="宋体"/>
                <w:color w:val="auto"/>
                <w:sz w:val="24"/>
                <w:szCs w:val="24"/>
                <w:highlight w:val="none"/>
              </w:rPr>
              <w:t>二、遴选要求</w:t>
            </w:r>
          </w:p>
          <w:p w14:paraId="1E27EC39">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346034EF">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供应商应当按照遴选采购文件的要求编制响应文件，并对遴选文件提出的要求和条件作出</w:t>
            </w:r>
            <w:r>
              <w:rPr>
                <w:rFonts w:hint="eastAsia" w:ascii="宋体" w:hAnsi="宋体" w:cs="宋体"/>
                <w:b/>
                <w:color w:val="auto"/>
                <w:sz w:val="24"/>
                <w:szCs w:val="24"/>
                <w:highlight w:val="none"/>
                <w:u w:val="single"/>
              </w:rPr>
              <w:t>实质性响应</w:t>
            </w:r>
            <w:r>
              <w:rPr>
                <w:rFonts w:hint="eastAsia" w:ascii="宋体" w:hAnsi="宋体" w:cs="宋体"/>
                <w:color w:val="auto"/>
                <w:sz w:val="24"/>
                <w:szCs w:val="24"/>
                <w:highlight w:val="none"/>
              </w:rPr>
              <w:t>，响应文件应规范装订成册。</w:t>
            </w:r>
          </w:p>
          <w:p w14:paraId="6E8FF940">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响应文件格式要求”规定的部分和供应商所作的一切有效补充、修改和承诺等文件组成，供应商应按照“响应文件格式”规定的目录顺序组织编写和装订，可在基本格式基础上对表格进行扩展，未规定格式的由供应商自定格式。</w:t>
            </w:r>
          </w:p>
          <w:p w14:paraId="1BADEFE0">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（二）报价要求</w:t>
            </w:r>
          </w:p>
          <w:p w14:paraId="2967A760">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本次报价为人民币，须一次性报出具体陪护费</w:t>
            </w:r>
            <w:r>
              <w:rPr>
                <w:rFonts w:hint="eastAsia" w:ascii="宋体" w:hAnsi="宋体" w:cs="宋体"/>
                <w:color w:val="auto"/>
                <w:sz w:val="24"/>
                <w:szCs w:val="24"/>
                <w:lang w:val="en-US" w:eastAsia="zh-CN"/>
              </w:rPr>
              <w:t>，同步报出</w:t>
            </w:r>
            <w:r>
              <w:rPr>
                <w:rFonts w:hint="eastAsia" w:ascii="宋体" w:hAnsi="宋体" w:eastAsia="宋体" w:cs="宋体"/>
                <w:color w:val="auto"/>
                <w:sz w:val="24"/>
                <w:szCs w:val="24"/>
                <w:lang w:val="en-US" w:eastAsia="zh-CN"/>
              </w:rPr>
              <w:t>向采购人缴纳的项目能源消耗费</w:t>
            </w:r>
            <w:r>
              <w:rPr>
                <w:rFonts w:hint="eastAsia" w:ascii="宋体" w:hAnsi="宋体" w:cs="宋体"/>
                <w:color w:val="auto"/>
                <w:sz w:val="24"/>
                <w:szCs w:val="24"/>
                <w:lang w:val="en-US" w:eastAsia="zh-CN"/>
              </w:rPr>
              <w:t>。</w:t>
            </w:r>
          </w:p>
          <w:p w14:paraId="31511750">
            <w:pPr>
              <w:pStyle w:val="2"/>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项目能源消耗费包含完成项目所需水电气、空调、清洁、物管等所有费用。</w:t>
            </w:r>
          </w:p>
          <w:p w14:paraId="62E2C5B7">
            <w:pPr>
              <w:spacing w:line="400" w:lineRule="exact"/>
              <w:ind w:firstLine="480" w:firstLineChars="200"/>
              <w:rPr>
                <w:rFonts w:hint="default"/>
                <w:color w:val="auto"/>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项目能源消耗费报价未实质性响应，则视为无效报价，作无效响应处理</w:t>
            </w:r>
            <w:r>
              <w:rPr>
                <w:rFonts w:hint="eastAsia" w:ascii="宋体" w:hAnsi="宋体" w:cs="宋体"/>
                <w:color w:val="auto"/>
                <w:sz w:val="24"/>
                <w:szCs w:val="24"/>
                <w:lang w:val="en-US" w:eastAsia="zh-CN"/>
              </w:rPr>
              <w:t>。</w:t>
            </w:r>
          </w:p>
          <w:p w14:paraId="7C405687">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若供应商所递交的响应文件或报价中的价格出现大写和小写金额不一致的，</w:t>
            </w:r>
            <w:r>
              <w:rPr>
                <w:rFonts w:hint="eastAsia" w:ascii="宋体" w:hAnsi="宋体" w:cs="宋体"/>
                <w:color w:val="auto"/>
                <w:sz w:val="24"/>
                <w:szCs w:val="24"/>
                <w:highlight w:val="none"/>
                <w:lang w:val="en-US" w:eastAsia="zh-CN"/>
              </w:rPr>
              <w:t>视为无效投标</w:t>
            </w:r>
            <w:r>
              <w:rPr>
                <w:rFonts w:hint="eastAsia" w:ascii="宋体" w:hAnsi="宋体" w:cs="宋体"/>
                <w:color w:val="auto"/>
                <w:sz w:val="24"/>
                <w:szCs w:val="24"/>
                <w:highlight w:val="none"/>
              </w:rPr>
              <w:t>。</w:t>
            </w:r>
          </w:p>
          <w:p w14:paraId="6E8EA90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4F88ED9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份；所有内容</w:t>
            </w:r>
            <w:r>
              <w:rPr>
                <w:rFonts w:hint="eastAsia" w:ascii="宋体" w:hAnsi="宋体" w:cs="宋体"/>
                <w:color w:val="auto"/>
                <w:sz w:val="24"/>
                <w:szCs w:val="24"/>
                <w:highlight w:val="none"/>
                <w:lang w:eastAsia="zh-CN"/>
              </w:rPr>
              <w:t>逐页加</w:t>
            </w:r>
            <w:r>
              <w:rPr>
                <w:rFonts w:hint="eastAsia" w:ascii="宋体" w:hAnsi="宋体" w:cs="宋体"/>
                <w:color w:val="auto"/>
                <w:sz w:val="24"/>
                <w:szCs w:val="24"/>
                <w:highlight w:val="none"/>
              </w:rPr>
              <w:t>盖鲜章</w:t>
            </w:r>
            <w:r>
              <w:rPr>
                <w:rFonts w:hint="eastAsia" w:ascii="宋体" w:hAnsi="宋体" w:cs="宋体"/>
                <w:color w:val="auto"/>
                <w:sz w:val="24"/>
                <w:szCs w:val="24"/>
                <w:highlight w:val="none"/>
                <w:lang w:eastAsia="zh-CN"/>
              </w:rPr>
              <w:t>和骑缝章</w:t>
            </w:r>
            <w:r>
              <w:rPr>
                <w:rFonts w:hint="eastAsia" w:ascii="宋体" w:hAnsi="宋体" w:cs="宋体"/>
                <w:color w:val="auto"/>
                <w:sz w:val="24"/>
                <w:szCs w:val="24"/>
                <w:highlight w:val="none"/>
              </w:rPr>
              <w:t>，副本可为正本的复印件，应与正本一致，如出现不一致情况以正本为准。</w:t>
            </w:r>
          </w:p>
          <w:p w14:paraId="4B882AB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2.在响应文件正本中，响应文件格式规定签字、盖章的地方必须按其规定签字、盖章。</w:t>
            </w:r>
          </w:p>
          <w:p w14:paraId="2D144622">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（五）响应文件的密封与标记</w:t>
            </w:r>
          </w:p>
          <w:p w14:paraId="5DE63E40">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响应文件的正本、副本均采用信封密封。信封上注明</w:t>
            </w:r>
            <w:r>
              <w:rPr>
                <w:rFonts w:hint="eastAsia" w:ascii="宋体" w:hAnsi="宋体" w:cs="宋体"/>
                <w:b/>
                <w:color w:val="auto"/>
                <w:sz w:val="24"/>
                <w:szCs w:val="24"/>
                <w:highlight w:val="none"/>
                <w:u w:val="single"/>
              </w:rPr>
              <w:t>项目名称、供应商名称、“正本”、“副本”</w:t>
            </w:r>
            <w:r>
              <w:rPr>
                <w:rFonts w:hint="eastAsia" w:ascii="宋体" w:hAnsi="宋体" w:cs="宋体"/>
                <w:color w:val="auto"/>
                <w:sz w:val="24"/>
                <w:szCs w:val="24"/>
                <w:highlight w:val="none"/>
              </w:rPr>
              <w:t>字样，信封的封口加盖供应商公章。</w:t>
            </w:r>
          </w:p>
          <w:p w14:paraId="16CEFDA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（六）供应商参与人员</w:t>
            </w:r>
          </w:p>
          <w:p w14:paraId="1EB958CB">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供应商派代表参与遴选，应为法定代表人或授权委托代表。</w:t>
            </w:r>
          </w:p>
          <w:p w14:paraId="0811B794">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（七）无效遴选</w:t>
            </w:r>
          </w:p>
          <w:p w14:paraId="691EC48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供应商发生以下条款情形的，视为无效，其响应文件将被拒绝：</w:t>
            </w:r>
          </w:p>
          <w:p w14:paraId="6F81C02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1.不符合规定的一般资格条件或特定资格条件；</w:t>
            </w:r>
          </w:p>
          <w:p w14:paraId="2F724A6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2.法定代表人或授权代表未到场参加；</w:t>
            </w:r>
          </w:p>
          <w:p w14:paraId="6EAA1F0E">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3.响应文件不按规定签字、盖章；</w:t>
            </w:r>
          </w:p>
          <w:p w14:paraId="63A92150">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4.报价超过采购限价；</w:t>
            </w:r>
          </w:p>
          <w:p w14:paraId="3E4A3803">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5.供应商响应文件内容与国家法律法规相违背，或附有采购人无法接受的条件。</w:t>
            </w:r>
          </w:p>
          <w:p w14:paraId="7590CCDD">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现场踏勘</w:t>
            </w:r>
          </w:p>
          <w:p w14:paraId="151C5F7F">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若有需要，可自行踏勘项目现场。供应商自身应对勘察中获取的现场资料负责。不管供应商是否勘察过现场，均被认为在递交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文件之前已勘察现场，对本项目的风险和义务十分了解，并在其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文件中充分考虑了现场和环境条件。</w:t>
            </w:r>
          </w:p>
          <w:p w14:paraId="66F5D322">
            <w:pPr>
              <w:pStyle w:val="5"/>
              <w:pageBreakBefore w:val="0"/>
              <w:kinsoku/>
              <w:overflowPunct/>
              <w:topLinePunct w:val="0"/>
              <w:autoSpaceDE/>
              <w:autoSpaceDN/>
              <w:bidi w:val="0"/>
              <w:spacing w:before="0" w:after="0" w:line="400" w:lineRule="exact"/>
              <w:ind w:firstLine="482" w:firstLineChars="200"/>
              <w:textAlignment w:val="auto"/>
              <w:rPr>
                <w:rFonts w:hint="eastAsia" w:ascii="宋体" w:hAnsi="宋体" w:cs="宋体"/>
                <w:color w:val="auto"/>
                <w:sz w:val="24"/>
                <w:szCs w:val="24"/>
                <w:highlight w:val="none"/>
              </w:rPr>
            </w:pPr>
            <w:bookmarkStart w:id="19" w:name="_Toc403569780"/>
            <w:bookmarkEnd w:id="19"/>
            <w:bookmarkStart w:id="20" w:name="_Toc342913393"/>
            <w:bookmarkEnd w:id="20"/>
            <w:bookmarkStart w:id="21" w:name="_Toc179714298"/>
            <w:bookmarkEnd w:id="21"/>
            <w:bookmarkStart w:id="22" w:name="_Toc102227319"/>
            <w:bookmarkEnd w:id="22"/>
            <w:r>
              <w:rPr>
                <w:rFonts w:hint="eastAsia" w:ascii="宋体" w:hAnsi="宋体" w:cs="宋体"/>
                <w:color w:val="auto"/>
                <w:sz w:val="24"/>
                <w:szCs w:val="24"/>
                <w:highlight w:val="none"/>
              </w:rPr>
              <w:t>三、遴选采购程序</w:t>
            </w:r>
          </w:p>
          <w:p w14:paraId="0F4639E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（一）按遴选文件规定的时间和地点进行。供应商法定代表人或授权代表参加并签到。</w:t>
            </w:r>
          </w:p>
          <w:p w14:paraId="33682DC9">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遴选小组对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要求的前提下，才能参与本次采购。</w:t>
            </w:r>
          </w:p>
          <w:p w14:paraId="07306635">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遴选小组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0C03B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（四）遴选小组要求供应商澄清、说明或者更正响应文件应当以书面形式作出。供应商的澄清、说明或者更正应当由法定代表人或其授权代表签字或者加盖公章。</w:t>
            </w:r>
          </w:p>
          <w:p w14:paraId="773A23E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（五）在遴选采购过程中任何一方不得向他人透露与采购有关的技术资料、价格或其他信息。</w:t>
            </w:r>
          </w:p>
          <w:p w14:paraId="5C8B57D0">
            <w:pPr>
              <w:pageBreakBefore w:val="0"/>
              <w:kinsoku/>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szCs w:val="24"/>
                <w:highlight w:val="none"/>
              </w:rPr>
            </w:pPr>
          </w:p>
          <w:p w14:paraId="5B3D5DC7">
            <w:pPr>
              <w:pageBreakBefore w:val="0"/>
              <w:kinsoku/>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szCs w:val="24"/>
                <w:highlight w:val="none"/>
              </w:rPr>
            </w:pPr>
          </w:p>
          <w:p w14:paraId="27186E54">
            <w:pPr>
              <w:pageBreakBefore w:val="0"/>
              <w:kinsoku/>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cs="宋体"/>
                <w:b/>
                <w:bCs/>
                <w:color w:val="auto"/>
                <w:sz w:val="24"/>
                <w:szCs w:val="24"/>
                <w:highlight w:val="none"/>
              </w:rPr>
              <w:t>四</w:t>
            </w:r>
            <w:r>
              <w:rPr>
                <w:rFonts w:hint="eastAsia" w:ascii="宋体" w:hAnsi="宋体" w:cs="宋体"/>
                <w:b/>
                <w:color w:val="auto"/>
                <w:sz w:val="24"/>
                <w:szCs w:val="24"/>
                <w:highlight w:val="none"/>
              </w:rPr>
              <w:t>、评审依据</w:t>
            </w:r>
          </w:p>
          <w:tbl>
            <w:tblPr>
              <w:tblStyle w:val="13"/>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09"/>
              <w:gridCol w:w="1701"/>
              <w:gridCol w:w="4686"/>
              <w:gridCol w:w="2254"/>
            </w:tblGrid>
            <w:tr w14:paraId="1F44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1" w:type="dxa"/>
                  <w:gridSpan w:val="2"/>
                  <w:noWrap w:val="0"/>
                  <w:vAlign w:val="center"/>
                </w:tcPr>
                <w:p w14:paraId="5D277B0D">
                  <w:pPr>
                    <w:topLinePunct/>
                    <w:adjustRightInd w:val="0"/>
                    <w:snapToGrid w:val="0"/>
                    <w:jc w:val="center"/>
                    <w:rPr>
                      <w:rFonts w:ascii="宋体" w:hAnsi="宋体"/>
                      <w:b/>
                      <w:bCs/>
                      <w:color w:val="auto"/>
                      <w:sz w:val="21"/>
                      <w:szCs w:val="21"/>
                    </w:rPr>
                  </w:pPr>
                  <w:bookmarkStart w:id="23" w:name="_Toc342913394"/>
                  <w:bookmarkStart w:id="24" w:name="_Toc102227320"/>
                  <w:r>
                    <w:rPr>
                      <w:rFonts w:hint="eastAsia" w:ascii="宋体" w:hAnsi="宋体" w:cs="宋体"/>
                      <w:b/>
                      <w:bCs/>
                      <w:color w:val="auto"/>
                      <w:sz w:val="21"/>
                      <w:szCs w:val="21"/>
                    </w:rPr>
                    <w:t>序号</w:t>
                  </w:r>
                </w:p>
              </w:tc>
              <w:tc>
                <w:tcPr>
                  <w:tcW w:w="1701" w:type="dxa"/>
                  <w:noWrap w:val="0"/>
                  <w:vAlign w:val="center"/>
                </w:tcPr>
                <w:p w14:paraId="52ED7EAA">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分值</w:t>
                  </w:r>
                </w:p>
              </w:tc>
              <w:tc>
                <w:tcPr>
                  <w:tcW w:w="4686" w:type="dxa"/>
                  <w:noWrap w:val="0"/>
                  <w:vAlign w:val="center"/>
                </w:tcPr>
                <w:p w14:paraId="34E2F547">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评分标准</w:t>
                  </w:r>
                </w:p>
              </w:tc>
              <w:tc>
                <w:tcPr>
                  <w:tcW w:w="2254" w:type="dxa"/>
                  <w:noWrap w:val="0"/>
                  <w:vAlign w:val="center"/>
                </w:tcPr>
                <w:p w14:paraId="1874B787">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说明</w:t>
                  </w:r>
                </w:p>
              </w:tc>
            </w:tr>
            <w:tr w14:paraId="75BE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62" w:type="dxa"/>
                  <w:vMerge w:val="restart"/>
                  <w:noWrap w:val="0"/>
                  <w:vAlign w:val="center"/>
                </w:tcPr>
                <w:p w14:paraId="000C0145">
                  <w:pPr>
                    <w:tabs>
                      <w:tab w:val="left" w:pos="3360"/>
                    </w:tabs>
                    <w:snapToGrid w:val="0"/>
                    <w:ind w:firstLine="105" w:firstLineChars="50"/>
                    <w:rPr>
                      <w:rFonts w:ascii="宋体" w:hAnsi="宋体"/>
                      <w:bCs/>
                      <w:color w:val="auto"/>
                      <w:sz w:val="21"/>
                      <w:szCs w:val="21"/>
                    </w:rPr>
                  </w:pPr>
                  <w:r>
                    <w:rPr>
                      <w:rFonts w:hint="eastAsia" w:ascii="宋体" w:hAnsi="宋体" w:cs="宋体"/>
                      <w:bCs/>
                      <w:color w:val="auto"/>
                      <w:sz w:val="21"/>
                      <w:szCs w:val="21"/>
                    </w:rPr>
                    <w:t>1</w:t>
                  </w:r>
                </w:p>
              </w:tc>
              <w:tc>
                <w:tcPr>
                  <w:tcW w:w="709" w:type="dxa"/>
                  <w:vMerge w:val="restart"/>
                  <w:noWrap w:val="0"/>
                  <w:vAlign w:val="center"/>
                </w:tcPr>
                <w:p w14:paraId="1F5EB381">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经济部分</w:t>
                  </w:r>
                </w:p>
                <w:p w14:paraId="250E0CA4">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（15）</w:t>
                  </w:r>
                </w:p>
              </w:tc>
              <w:tc>
                <w:tcPr>
                  <w:tcW w:w="1701" w:type="dxa"/>
                  <w:noWrap w:val="0"/>
                  <w:vAlign w:val="center"/>
                </w:tcPr>
                <w:p w14:paraId="33974905">
                  <w:pPr>
                    <w:snapToGrid w:val="0"/>
                    <w:jc w:val="center"/>
                    <w:rPr>
                      <w:rFonts w:hint="eastAsia" w:ascii="宋体" w:hAnsi="宋体"/>
                      <w:bCs/>
                      <w:color w:val="auto"/>
                      <w:sz w:val="21"/>
                      <w:szCs w:val="21"/>
                    </w:rPr>
                  </w:pPr>
                  <w:r>
                    <w:rPr>
                      <w:rFonts w:hint="eastAsia" w:ascii="宋体" w:hAnsi="宋体"/>
                      <w:bCs/>
                      <w:color w:val="auto"/>
                      <w:sz w:val="21"/>
                      <w:szCs w:val="21"/>
                      <w:highlight w:val="none"/>
                    </w:rPr>
                    <w:t>收费</w:t>
                  </w:r>
                  <w:r>
                    <w:rPr>
                      <w:rFonts w:hint="eastAsia" w:ascii="宋体" w:hAnsi="宋体"/>
                      <w:bCs/>
                      <w:color w:val="auto"/>
                      <w:sz w:val="21"/>
                      <w:szCs w:val="21"/>
                      <w:highlight w:val="none"/>
                      <w:lang w:eastAsia="zh-CN"/>
                    </w:rPr>
                    <w:t>价格</w:t>
                  </w:r>
                  <w:r>
                    <w:rPr>
                      <w:rFonts w:hint="eastAsia" w:ascii="宋体" w:hAnsi="宋体"/>
                      <w:bCs/>
                      <w:color w:val="auto"/>
                      <w:sz w:val="21"/>
                      <w:szCs w:val="21"/>
                      <w:highlight w:val="none"/>
                    </w:rPr>
                    <w:t>（5</w:t>
                  </w:r>
                  <w:r>
                    <w:rPr>
                      <w:rFonts w:hint="eastAsia" w:ascii="宋体" w:hAnsi="宋体"/>
                      <w:bCs/>
                      <w:color w:val="auto"/>
                      <w:sz w:val="21"/>
                      <w:szCs w:val="21"/>
                    </w:rPr>
                    <w:t>）</w:t>
                  </w:r>
                </w:p>
              </w:tc>
              <w:tc>
                <w:tcPr>
                  <w:tcW w:w="4686" w:type="dxa"/>
                  <w:noWrap w:val="0"/>
                  <w:vAlign w:val="center"/>
                </w:tcPr>
                <w:p w14:paraId="579206C0">
                  <w:pPr>
                    <w:snapToGrid/>
                    <w:spacing w:line="320" w:lineRule="atLeast"/>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w:t>
                  </w:r>
                  <w:r>
                    <w:rPr>
                      <w:rFonts w:hint="eastAsia" w:ascii="宋体" w:hAnsi="宋体" w:cs="宋体"/>
                      <w:bCs/>
                      <w:color w:val="auto"/>
                      <w:sz w:val="21"/>
                      <w:szCs w:val="21"/>
                    </w:rPr>
                    <w:t>.供应商</w:t>
                  </w:r>
                  <w:r>
                    <w:rPr>
                      <w:rFonts w:hint="eastAsia" w:ascii="宋体" w:hAnsi="宋体" w:cs="宋体"/>
                      <w:bCs/>
                      <w:color w:val="auto"/>
                      <w:sz w:val="21"/>
                      <w:szCs w:val="21"/>
                      <w:lang w:val="en-US" w:eastAsia="zh-CN"/>
                    </w:rPr>
                    <w:t>结合</w:t>
                  </w:r>
                  <w:r>
                    <w:rPr>
                      <w:rFonts w:hint="eastAsia" w:ascii="宋体" w:hAnsi="宋体" w:cs="宋体"/>
                      <w:bCs/>
                      <w:color w:val="auto"/>
                      <w:sz w:val="21"/>
                      <w:szCs w:val="21"/>
                    </w:rPr>
                    <w:t>企业自身实力、经验及项目实施过程中的各种因素，自主确定陪护价格，并独立报价，</w:t>
                  </w:r>
                  <w:r>
                    <w:rPr>
                      <w:rFonts w:hint="eastAsia" w:ascii="宋体" w:hAnsi="宋体" w:cs="宋体"/>
                      <w:bCs/>
                      <w:color w:val="auto"/>
                      <w:sz w:val="21"/>
                      <w:szCs w:val="21"/>
                      <w:lang w:val="en-US" w:eastAsia="zh-CN"/>
                    </w:rPr>
                    <w:t>参照《关于印发医院免陪照护服务试点工作</w:t>
                  </w:r>
                </w:p>
                <w:p w14:paraId="146DEF53">
                  <w:pPr>
                    <w:snapToGrid w:val="0"/>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方案的通知》（国卫办医政发〔2025〕7 号）、《重庆市护理类医疗服务项目价格表》渝医保发〔2025〕22 号。</w:t>
                  </w:r>
                </w:p>
                <w:p w14:paraId="6E0B1FE6">
                  <w:pPr>
                    <w:spacing w:line="320" w:lineRule="atLeast"/>
                    <w:rPr>
                      <w:rFonts w:hint="eastAsia" w:ascii="宋体" w:hAnsi="宋体" w:cs="宋体"/>
                      <w:color w:val="auto"/>
                      <w:sz w:val="21"/>
                      <w:szCs w:val="21"/>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陪护费用不能高于同一区域或同级医院收费标准。</w:t>
                  </w:r>
                  <w:r>
                    <w:rPr>
                      <w:rFonts w:hint="eastAsia" w:ascii="宋体" w:hAnsi="宋体" w:cs="宋体"/>
                      <w:color w:val="auto"/>
                      <w:sz w:val="21"/>
                      <w:szCs w:val="21"/>
                    </w:rPr>
                    <w:t>陪护服务公司需提供收费标准，派工及陪护费用结算流程。</w:t>
                  </w:r>
                </w:p>
                <w:p w14:paraId="21E8E1C2">
                  <w:pPr>
                    <w:pStyle w:val="2"/>
                    <w:rPr>
                      <w:rFonts w:hint="default"/>
                      <w:lang w:val="en-US" w:eastAsia="zh-CN"/>
                    </w:rPr>
                  </w:pPr>
                  <w:r>
                    <w:rPr>
                      <w:rFonts w:hint="eastAsia" w:ascii="宋体" w:hAnsi="宋体" w:cs="宋体"/>
                      <w:bCs/>
                      <w:color w:val="auto"/>
                      <w:sz w:val="21"/>
                      <w:szCs w:val="21"/>
                      <w:lang w:val="en-US" w:eastAsia="zh-CN"/>
                    </w:rPr>
                    <w:t>3.以最低报价为基准分（满分5分）；其他投标人得分：某投标人得分=（最低价、该投标人报价）*报价部分满分。</w:t>
                  </w:r>
                </w:p>
                <w:p w14:paraId="58889D66">
                  <w:pPr>
                    <w:snapToGrid w:val="0"/>
                    <w:rPr>
                      <w:rFonts w:ascii="宋体" w:hAnsi="宋体" w:cs="宋体"/>
                      <w:bCs/>
                      <w:color w:val="auto"/>
                      <w:sz w:val="21"/>
                      <w:szCs w:val="21"/>
                      <w:highlight w:val="yellow"/>
                    </w:rPr>
                  </w:pPr>
                </w:p>
              </w:tc>
              <w:tc>
                <w:tcPr>
                  <w:tcW w:w="2254" w:type="dxa"/>
                  <w:noWrap w:val="0"/>
                  <w:vAlign w:val="center"/>
                </w:tcPr>
                <w:p w14:paraId="5C9FA453">
                  <w:pPr>
                    <w:snapToGrid w:val="0"/>
                    <w:rPr>
                      <w:rFonts w:hint="eastAsia" w:ascii="宋体" w:hAnsi="宋体"/>
                      <w:bCs/>
                      <w:color w:val="auto"/>
                      <w:sz w:val="21"/>
                      <w:szCs w:val="21"/>
                      <w:lang w:val="en-US" w:eastAsia="zh-CN"/>
                    </w:rPr>
                  </w:pPr>
                  <w:r>
                    <w:rPr>
                      <w:rFonts w:hint="eastAsia" w:ascii="宋体" w:hAnsi="宋体"/>
                      <w:bCs/>
                      <w:color w:val="auto"/>
                      <w:sz w:val="21"/>
                      <w:szCs w:val="21"/>
                      <w:lang w:val="en-US" w:eastAsia="zh-CN"/>
                    </w:rPr>
                    <w:t>参考文件：</w:t>
                  </w:r>
                </w:p>
                <w:p w14:paraId="73F4E7FF">
                  <w:pPr>
                    <w:snapToGrid w:val="0"/>
                    <w:rPr>
                      <w:rFonts w:hint="eastAsia" w:ascii="宋体" w:hAnsi="宋体"/>
                      <w:bCs/>
                      <w:color w:val="auto"/>
                      <w:sz w:val="21"/>
                      <w:szCs w:val="21"/>
                    </w:rPr>
                  </w:pPr>
                  <w:r>
                    <w:rPr>
                      <w:rFonts w:hint="eastAsia" w:ascii="宋体" w:hAnsi="宋体"/>
                      <w:bCs/>
                      <w:color w:val="auto"/>
                      <w:sz w:val="21"/>
                      <w:szCs w:val="21"/>
                      <w:lang w:val="en-US" w:eastAsia="zh-CN"/>
                    </w:rPr>
                    <w:t>1.</w:t>
                  </w:r>
                  <w:r>
                    <w:rPr>
                      <w:rFonts w:hint="eastAsia" w:ascii="宋体" w:hAnsi="宋体"/>
                      <w:bCs/>
                      <w:color w:val="auto"/>
                      <w:sz w:val="21"/>
                      <w:szCs w:val="21"/>
                    </w:rPr>
                    <w:t>《国家卫生健康委办公厅 国家中医药管理局综合司 国</w:t>
                  </w:r>
                </w:p>
                <w:p w14:paraId="46F7029C">
                  <w:pPr>
                    <w:snapToGrid w:val="0"/>
                    <w:rPr>
                      <w:rFonts w:hint="eastAsia" w:ascii="宋体" w:hAnsi="宋体"/>
                      <w:bCs/>
                      <w:color w:val="auto"/>
                      <w:sz w:val="21"/>
                      <w:szCs w:val="21"/>
                    </w:rPr>
                  </w:pPr>
                  <w:r>
                    <w:rPr>
                      <w:rFonts w:hint="eastAsia" w:ascii="宋体" w:hAnsi="宋体"/>
                      <w:bCs/>
                      <w:color w:val="auto"/>
                      <w:sz w:val="21"/>
                      <w:szCs w:val="21"/>
                    </w:rPr>
                    <w:t>家疾病预防控制局综合司关于印发医院免陪照护服务试点工作</w:t>
                  </w:r>
                </w:p>
                <w:p w14:paraId="327E7AD0">
                  <w:pPr>
                    <w:snapToGrid w:val="0"/>
                    <w:rPr>
                      <w:rFonts w:hint="eastAsia" w:ascii="宋体" w:hAnsi="宋体"/>
                      <w:bCs/>
                      <w:color w:val="auto"/>
                      <w:sz w:val="21"/>
                      <w:szCs w:val="21"/>
                    </w:rPr>
                  </w:pPr>
                  <w:r>
                    <w:rPr>
                      <w:rFonts w:hint="eastAsia" w:ascii="宋体" w:hAnsi="宋体"/>
                      <w:bCs/>
                      <w:color w:val="auto"/>
                      <w:sz w:val="21"/>
                      <w:szCs w:val="21"/>
                    </w:rPr>
                    <w:t>方案的通知》（国卫办医政发〔2025〕7 号）</w:t>
                  </w:r>
                </w:p>
                <w:p w14:paraId="1548C941">
                  <w:pPr>
                    <w:snapToGrid w:val="0"/>
                    <w:rPr>
                      <w:rFonts w:hint="eastAsia" w:ascii="宋体" w:hAnsi="宋体" w:eastAsia="宋体"/>
                      <w:bCs/>
                      <w:color w:val="auto"/>
                      <w:sz w:val="21"/>
                      <w:szCs w:val="21"/>
                      <w:lang w:eastAsia="zh-CN"/>
                    </w:rPr>
                  </w:pPr>
                  <w:r>
                    <w:rPr>
                      <w:rFonts w:hint="eastAsia" w:ascii="宋体" w:hAnsi="宋体"/>
                      <w:bCs/>
                      <w:color w:val="auto"/>
                      <w:sz w:val="21"/>
                      <w:szCs w:val="21"/>
                      <w:lang w:val="en-US" w:eastAsia="zh-CN"/>
                    </w:rPr>
                    <w:t>2.</w:t>
                  </w:r>
                  <w:r>
                    <w:rPr>
                      <w:rFonts w:hint="eastAsia" w:ascii="宋体" w:hAnsi="宋体"/>
                      <w:bCs/>
                      <w:color w:val="auto"/>
                      <w:sz w:val="21"/>
                      <w:szCs w:val="21"/>
                      <w:lang w:eastAsia="zh-CN"/>
                    </w:rPr>
                    <w:t>《重庆市护理类医疗服务项目价格表》渝医保发〔2025〕22 号</w:t>
                  </w:r>
                </w:p>
              </w:tc>
            </w:tr>
            <w:tr w14:paraId="0F4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462" w:type="dxa"/>
                  <w:vMerge w:val="continue"/>
                  <w:noWrap w:val="0"/>
                  <w:vAlign w:val="center"/>
                </w:tcPr>
                <w:p w14:paraId="5760D160">
                  <w:pPr>
                    <w:tabs>
                      <w:tab w:val="left" w:pos="3360"/>
                    </w:tabs>
                    <w:snapToGrid w:val="0"/>
                    <w:ind w:firstLine="105" w:firstLineChars="50"/>
                    <w:rPr>
                      <w:rFonts w:ascii="宋体" w:hAnsi="宋体"/>
                      <w:bCs/>
                      <w:color w:val="auto"/>
                      <w:sz w:val="21"/>
                      <w:szCs w:val="21"/>
                    </w:rPr>
                  </w:pPr>
                </w:p>
              </w:tc>
              <w:tc>
                <w:tcPr>
                  <w:tcW w:w="709" w:type="dxa"/>
                  <w:vMerge w:val="continue"/>
                  <w:noWrap w:val="0"/>
                  <w:vAlign w:val="center"/>
                </w:tcPr>
                <w:p w14:paraId="4B8C08BA">
                  <w:pPr>
                    <w:tabs>
                      <w:tab w:val="left" w:pos="3360"/>
                    </w:tabs>
                    <w:snapToGrid w:val="0"/>
                    <w:jc w:val="center"/>
                    <w:rPr>
                      <w:rFonts w:ascii="宋体" w:hAnsi="宋体"/>
                      <w:bCs/>
                      <w:color w:val="auto"/>
                      <w:sz w:val="21"/>
                      <w:szCs w:val="21"/>
                    </w:rPr>
                  </w:pPr>
                </w:p>
              </w:tc>
              <w:tc>
                <w:tcPr>
                  <w:tcW w:w="1701" w:type="dxa"/>
                  <w:noWrap w:val="0"/>
                  <w:vAlign w:val="center"/>
                </w:tcPr>
                <w:p w14:paraId="779175C6">
                  <w:pPr>
                    <w:snapToGrid w:val="0"/>
                    <w:rPr>
                      <w:rFonts w:hint="eastAsia" w:ascii="宋体" w:hAnsi="宋体" w:cs="宋体"/>
                      <w:bCs/>
                      <w:color w:val="auto"/>
                      <w:sz w:val="21"/>
                      <w:szCs w:val="21"/>
                    </w:rPr>
                  </w:pPr>
                  <w:r>
                    <w:rPr>
                      <w:rFonts w:hint="eastAsia" w:ascii="宋体" w:hAnsi="宋体" w:cs="宋体"/>
                      <w:bCs/>
                      <w:color w:val="auto"/>
                      <w:sz w:val="21"/>
                      <w:szCs w:val="21"/>
                    </w:rPr>
                    <w:t>项目能源消耗分值（10）</w:t>
                  </w:r>
                </w:p>
              </w:tc>
              <w:tc>
                <w:tcPr>
                  <w:tcW w:w="4686" w:type="dxa"/>
                  <w:noWrap w:val="0"/>
                  <w:vAlign w:val="center"/>
                </w:tcPr>
                <w:p w14:paraId="1E1736A3">
                  <w:pPr>
                    <w:numPr>
                      <w:ilvl w:val="0"/>
                      <w:numId w:val="1"/>
                    </w:numPr>
                    <w:snapToGrid w:val="0"/>
                    <w:rPr>
                      <w:rFonts w:hint="eastAsia" w:ascii="宋体" w:hAnsi="宋体" w:cs="宋体"/>
                      <w:bCs/>
                      <w:color w:val="auto"/>
                      <w:sz w:val="21"/>
                      <w:szCs w:val="21"/>
                      <w:lang w:val="en-US" w:eastAsia="zh-CN"/>
                    </w:rPr>
                  </w:pPr>
                  <w:r>
                    <w:rPr>
                      <w:rFonts w:hint="eastAsia" w:ascii="宋体" w:hAnsi="宋体" w:cs="宋体"/>
                      <w:color w:val="auto"/>
                      <w:sz w:val="24"/>
                      <w:szCs w:val="24"/>
                      <w:highlight w:val="none"/>
                    </w:rPr>
                    <w:t>供应商</w:t>
                  </w:r>
                  <w:r>
                    <w:rPr>
                      <w:rFonts w:hint="eastAsia" w:ascii="宋体" w:hAnsi="宋体" w:cs="宋体"/>
                      <w:bCs/>
                      <w:color w:val="auto"/>
                      <w:sz w:val="21"/>
                      <w:szCs w:val="21"/>
                      <w:lang w:val="en-US" w:eastAsia="zh-CN"/>
                    </w:rPr>
                    <w:t>向院方缴纳项目能源消耗费进行自主报价；</w:t>
                  </w:r>
                </w:p>
                <w:p w14:paraId="49F20E75">
                  <w:pPr>
                    <w:pStyle w:val="2"/>
                    <w:numPr>
                      <w:ilvl w:val="-1"/>
                      <w:numId w:val="0"/>
                    </w:numPr>
                    <w:rPr>
                      <w:rFonts w:hint="default"/>
                      <w:lang w:val="en-US" w:eastAsia="zh-CN"/>
                    </w:rPr>
                  </w:pPr>
                  <w:r>
                    <w:rPr>
                      <w:rFonts w:hint="eastAsia"/>
                      <w:color w:val="auto"/>
                      <w:sz w:val="21"/>
                      <w:szCs w:val="21"/>
                      <w:lang w:val="en-US" w:eastAsia="zh-CN"/>
                    </w:rPr>
                    <w:t>2.以最高报价为基准价（满分10分），其他投标人的得分：某投标人得分=（最高价、该投标人报价）*报价部分满分。</w:t>
                  </w:r>
                </w:p>
              </w:tc>
              <w:tc>
                <w:tcPr>
                  <w:tcW w:w="2254" w:type="dxa"/>
                  <w:noWrap w:val="0"/>
                  <w:vAlign w:val="center"/>
                </w:tcPr>
                <w:p w14:paraId="5EB7B601">
                  <w:pPr>
                    <w:snapToGrid w:val="0"/>
                    <w:rPr>
                      <w:rFonts w:hint="eastAsia" w:ascii="宋体" w:hAnsi="宋体"/>
                      <w:bCs/>
                      <w:color w:val="auto"/>
                      <w:sz w:val="21"/>
                      <w:szCs w:val="21"/>
                    </w:rPr>
                  </w:pPr>
                </w:p>
              </w:tc>
            </w:tr>
            <w:tr w14:paraId="252D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62" w:type="dxa"/>
                  <w:vMerge w:val="restart"/>
                  <w:noWrap w:val="0"/>
                  <w:vAlign w:val="center"/>
                </w:tcPr>
                <w:p w14:paraId="6CAB48A3">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2</w:t>
                  </w:r>
                </w:p>
              </w:tc>
              <w:tc>
                <w:tcPr>
                  <w:tcW w:w="709" w:type="dxa"/>
                  <w:vMerge w:val="restart"/>
                  <w:noWrap w:val="0"/>
                  <w:vAlign w:val="center"/>
                </w:tcPr>
                <w:p w14:paraId="72DBF951">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技术部分</w:t>
                  </w:r>
                </w:p>
                <w:p w14:paraId="469C51F0">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（55）</w:t>
                  </w:r>
                </w:p>
              </w:tc>
              <w:tc>
                <w:tcPr>
                  <w:tcW w:w="1701" w:type="dxa"/>
                  <w:vMerge w:val="restart"/>
                  <w:noWrap w:val="0"/>
                  <w:vAlign w:val="center"/>
                </w:tcPr>
                <w:p w14:paraId="013BEEF2">
                  <w:pPr>
                    <w:snapToGrid w:val="0"/>
                    <w:jc w:val="center"/>
                    <w:rPr>
                      <w:rFonts w:ascii="宋体" w:hAnsi="宋体"/>
                      <w:bCs/>
                      <w:color w:val="auto"/>
                      <w:sz w:val="21"/>
                      <w:szCs w:val="21"/>
                    </w:rPr>
                  </w:pPr>
                  <w:r>
                    <w:rPr>
                      <w:rFonts w:hint="eastAsia" w:ascii="宋体" w:hAnsi="宋体" w:cs="宋体"/>
                      <w:bCs/>
                      <w:color w:val="auto"/>
                      <w:sz w:val="21"/>
                      <w:szCs w:val="21"/>
                    </w:rPr>
                    <w:t>陪护服务运营、管理方案</w:t>
                  </w:r>
                </w:p>
                <w:p w14:paraId="7BB8BF9D">
                  <w:pPr>
                    <w:snapToGrid w:val="0"/>
                    <w:rPr>
                      <w:rFonts w:ascii="宋体" w:hAnsi="宋体"/>
                      <w:bCs/>
                      <w:color w:val="auto"/>
                      <w:sz w:val="21"/>
                      <w:szCs w:val="21"/>
                    </w:rPr>
                  </w:pPr>
                  <w:r>
                    <w:rPr>
                      <w:rFonts w:hint="eastAsia" w:ascii="宋体" w:hAnsi="宋体" w:cs="宋体"/>
                      <w:bCs/>
                      <w:color w:val="auto"/>
                      <w:sz w:val="21"/>
                      <w:szCs w:val="21"/>
                    </w:rPr>
                    <w:t xml:space="preserve">  （20）</w:t>
                  </w:r>
                </w:p>
              </w:tc>
              <w:tc>
                <w:tcPr>
                  <w:tcW w:w="4686" w:type="dxa"/>
                  <w:noWrap w:val="0"/>
                  <w:vAlign w:val="center"/>
                </w:tcPr>
                <w:p w14:paraId="3EC470DB">
                  <w:pPr>
                    <w:snapToGrid w:val="0"/>
                    <w:rPr>
                      <w:rFonts w:ascii="宋体" w:hAnsi="宋体"/>
                      <w:bCs/>
                      <w:iCs/>
                      <w:color w:val="auto"/>
                      <w:sz w:val="21"/>
                      <w:szCs w:val="21"/>
                    </w:rPr>
                  </w:pPr>
                  <w:r>
                    <w:rPr>
                      <w:rFonts w:hint="eastAsia" w:ascii="宋体" w:hAnsi="宋体" w:cs="宋体"/>
                      <w:bCs/>
                      <w:iCs/>
                      <w:color w:val="auto"/>
                      <w:sz w:val="21"/>
                      <w:szCs w:val="21"/>
                    </w:rPr>
                    <w:t>培训方案（5分）</w:t>
                  </w:r>
                </w:p>
                <w:p w14:paraId="6DC4040D">
                  <w:pPr>
                    <w:adjustRightInd w:val="0"/>
                    <w:snapToGrid w:val="0"/>
                    <w:rPr>
                      <w:rFonts w:ascii="宋体" w:hAnsi="宋体"/>
                      <w:bCs/>
                      <w:iCs/>
                      <w:color w:val="auto"/>
                      <w:sz w:val="21"/>
                      <w:szCs w:val="21"/>
                    </w:rPr>
                  </w:pPr>
                  <w:r>
                    <w:rPr>
                      <w:rFonts w:hint="eastAsia" w:ascii="宋体" w:hAnsi="宋体" w:cs="宋体"/>
                      <w:bCs/>
                      <w:iCs/>
                      <w:color w:val="auto"/>
                      <w:sz w:val="21"/>
                      <w:szCs w:val="21"/>
                    </w:rPr>
                    <w:t>根据医院实际情况所提供的培训方案的完整、合理及可行性，包括护理员的基本技能、基本理论知识等培训。优5分，良2分，合格1分，不合格得0分。</w:t>
                  </w:r>
                </w:p>
              </w:tc>
              <w:tc>
                <w:tcPr>
                  <w:tcW w:w="2254" w:type="dxa"/>
                  <w:vMerge w:val="restart"/>
                  <w:noWrap w:val="0"/>
                  <w:vAlign w:val="center"/>
                </w:tcPr>
                <w:p w14:paraId="3C7F76CF">
                  <w:pPr>
                    <w:widowControl/>
                    <w:jc w:val="left"/>
                    <w:rPr>
                      <w:rFonts w:hint="eastAsia" w:ascii="宋体" w:hAnsi="宋体" w:cs="宋体"/>
                      <w:color w:val="auto"/>
                      <w:sz w:val="21"/>
                      <w:szCs w:val="21"/>
                    </w:rPr>
                  </w:pPr>
                  <w:r>
                    <w:rPr>
                      <w:rFonts w:hint="eastAsia" w:ascii="宋体" w:hAnsi="宋体" w:cs="宋体"/>
                      <w:color w:val="auto"/>
                      <w:sz w:val="21"/>
                      <w:szCs w:val="21"/>
                      <w:lang w:val="en-US" w:eastAsia="zh-CN"/>
                    </w:rPr>
                    <w:t>参照《关于印发加强医疗护理员培训和规范管理工作实施方案的通知》渝卫发〔2021〕11 号</w:t>
                  </w:r>
                  <w:r>
                    <w:rPr>
                      <w:rFonts w:hint="eastAsia" w:ascii="宋体" w:hAnsi="宋体" w:cs="宋体"/>
                      <w:color w:val="auto"/>
                      <w:sz w:val="21"/>
                      <w:szCs w:val="21"/>
                    </w:rPr>
                    <w:t>提供方案，格式自拟。</w:t>
                  </w:r>
                </w:p>
                <w:p w14:paraId="0804A8E9">
                  <w:pPr>
                    <w:widowControl/>
                    <w:jc w:val="left"/>
                    <w:rPr>
                      <w:rFonts w:hint="eastAsia" w:ascii="宋体" w:hAnsi="宋体" w:cs="宋体"/>
                      <w:color w:val="auto"/>
                      <w:sz w:val="21"/>
                      <w:szCs w:val="21"/>
                    </w:rPr>
                  </w:pPr>
                  <w:r>
                    <w:rPr>
                      <w:rFonts w:hint="eastAsia" w:ascii="宋体" w:hAnsi="宋体" w:cs="宋体"/>
                      <w:color w:val="auto"/>
                      <w:sz w:val="21"/>
                      <w:szCs w:val="21"/>
                    </w:rPr>
                    <w:t>方案评审标准：</w:t>
                  </w:r>
                </w:p>
                <w:p w14:paraId="70105AE8">
                  <w:pPr>
                    <w:widowControl/>
                    <w:jc w:val="left"/>
                    <w:rPr>
                      <w:rFonts w:hint="eastAsia" w:ascii="宋体" w:hAnsi="宋体" w:cs="宋体"/>
                      <w:color w:val="auto"/>
                      <w:sz w:val="21"/>
                      <w:szCs w:val="21"/>
                    </w:rPr>
                  </w:pPr>
                  <w:r>
                    <w:rPr>
                      <w:rFonts w:hint="eastAsia" w:ascii="宋体" w:hAnsi="宋体" w:cs="宋体"/>
                      <w:color w:val="auto"/>
                      <w:sz w:val="21"/>
                      <w:szCs w:val="21"/>
                    </w:rPr>
                    <w:t>本项内容中所称的“瑕疵”指：</w:t>
                  </w:r>
                </w:p>
                <w:p w14:paraId="74437A01">
                  <w:pPr>
                    <w:widowControl/>
                    <w:jc w:val="left"/>
                    <w:rPr>
                      <w:rFonts w:hint="eastAsia" w:ascii="宋体" w:hAnsi="宋体" w:cs="宋体"/>
                      <w:color w:val="auto"/>
                      <w:sz w:val="21"/>
                      <w:szCs w:val="21"/>
                    </w:rPr>
                  </w:pPr>
                  <w:r>
                    <w:rPr>
                      <w:rFonts w:hint="eastAsia" w:ascii="宋体" w:hAnsi="宋体" w:cs="宋体"/>
                      <w:color w:val="auto"/>
                      <w:sz w:val="21"/>
                      <w:szCs w:val="21"/>
                    </w:rPr>
                    <w:t>1）方案出现内容缺项、表述不完整或缺少关键分析点；</w:t>
                  </w:r>
                </w:p>
                <w:p w14:paraId="4F947F30">
                  <w:pPr>
                    <w:widowControl/>
                    <w:jc w:val="left"/>
                    <w:rPr>
                      <w:rFonts w:hint="eastAsia" w:ascii="宋体" w:hAnsi="宋体" w:cs="宋体"/>
                      <w:color w:val="auto"/>
                      <w:sz w:val="21"/>
                      <w:szCs w:val="21"/>
                    </w:rPr>
                  </w:pPr>
                  <w:r>
                    <w:rPr>
                      <w:rFonts w:hint="eastAsia" w:ascii="宋体" w:hAnsi="宋体" w:cs="宋体"/>
                      <w:color w:val="auto"/>
                      <w:sz w:val="21"/>
                      <w:szCs w:val="21"/>
                    </w:rPr>
                    <w:t>2）缺乏科学合理性，存在逻辑漏洞、常识错误；</w:t>
                  </w:r>
                </w:p>
                <w:p w14:paraId="23FB2DB7">
                  <w:pPr>
                    <w:widowControl/>
                    <w:jc w:val="left"/>
                    <w:rPr>
                      <w:rFonts w:hint="eastAsia" w:ascii="宋体" w:hAnsi="宋体" w:cs="宋体"/>
                      <w:color w:val="auto"/>
                      <w:sz w:val="21"/>
                      <w:szCs w:val="21"/>
                    </w:rPr>
                  </w:pPr>
                  <w:r>
                    <w:rPr>
                      <w:rFonts w:hint="eastAsia" w:ascii="宋体" w:hAnsi="宋体" w:cs="宋体"/>
                      <w:color w:val="auto"/>
                      <w:sz w:val="21"/>
                      <w:szCs w:val="21"/>
                    </w:rPr>
                    <w:t>3）表述前后矛盾、无连贯性；</w:t>
                  </w:r>
                </w:p>
                <w:p w14:paraId="0D1ABA12">
                  <w:pPr>
                    <w:widowControl/>
                    <w:jc w:val="left"/>
                    <w:rPr>
                      <w:rFonts w:hint="eastAsia" w:ascii="宋体" w:hAnsi="宋体" w:cs="宋体"/>
                      <w:color w:val="auto"/>
                      <w:sz w:val="21"/>
                      <w:szCs w:val="21"/>
                    </w:rPr>
                  </w:pPr>
                  <w:r>
                    <w:rPr>
                      <w:rFonts w:hint="eastAsia" w:ascii="宋体" w:hAnsi="宋体" w:cs="宋体"/>
                      <w:color w:val="auto"/>
                      <w:sz w:val="21"/>
                      <w:szCs w:val="21"/>
                    </w:rPr>
                    <w:t>4）方案安排并不适用本项目特性或非专门针对本项目制定，不利于本项目的目的实现；</w:t>
                  </w:r>
                </w:p>
                <w:p w14:paraId="7E695DF3">
                  <w:pPr>
                    <w:widowControl/>
                    <w:jc w:val="left"/>
                    <w:rPr>
                      <w:rFonts w:hint="eastAsia" w:ascii="宋体" w:hAnsi="宋体" w:cs="宋体"/>
                      <w:color w:val="auto"/>
                      <w:sz w:val="21"/>
                      <w:szCs w:val="21"/>
                    </w:rPr>
                  </w:pPr>
                  <w:r>
                    <w:rPr>
                      <w:rFonts w:hint="eastAsia" w:ascii="宋体" w:hAnsi="宋体" w:cs="宋体"/>
                      <w:color w:val="auto"/>
                      <w:sz w:val="21"/>
                      <w:szCs w:val="21"/>
                    </w:rPr>
                    <w:t>5）现有条件下不可能实现的情形。</w:t>
                  </w:r>
                </w:p>
                <w:p w14:paraId="3EF082BF">
                  <w:pPr>
                    <w:widowControl/>
                    <w:jc w:val="left"/>
                    <w:rPr>
                      <w:rFonts w:ascii="宋体" w:hAnsi="宋体"/>
                      <w:bCs/>
                      <w:color w:val="auto"/>
                      <w:sz w:val="21"/>
                      <w:szCs w:val="21"/>
                    </w:rPr>
                  </w:pPr>
                  <w:r>
                    <w:rPr>
                      <w:rFonts w:hint="eastAsia" w:ascii="宋体" w:hAnsi="宋体" w:cs="宋体"/>
                      <w:color w:val="auto"/>
                      <w:sz w:val="21"/>
                      <w:szCs w:val="21"/>
                    </w:rPr>
                    <w:t>上述任意一种情形为1处瑕疵。内容无瑕疵或1处得5分，2处瑕疵得2分，3处瑕疵得1分，4处及以上得0分。</w:t>
                  </w:r>
                </w:p>
              </w:tc>
            </w:tr>
            <w:tr w14:paraId="6EB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6A5C96A6">
                  <w:pPr>
                    <w:tabs>
                      <w:tab w:val="left" w:pos="3360"/>
                    </w:tabs>
                    <w:snapToGrid w:val="0"/>
                    <w:rPr>
                      <w:rFonts w:ascii="宋体" w:hAnsi="宋体"/>
                      <w:bCs/>
                      <w:color w:val="auto"/>
                      <w:sz w:val="21"/>
                      <w:szCs w:val="21"/>
                    </w:rPr>
                  </w:pPr>
                </w:p>
              </w:tc>
              <w:tc>
                <w:tcPr>
                  <w:tcW w:w="709" w:type="dxa"/>
                  <w:vMerge w:val="continue"/>
                  <w:noWrap w:val="0"/>
                  <w:vAlign w:val="center"/>
                </w:tcPr>
                <w:p w14:paraId="02852403">
                  <w:pPr>
                    <w:tabs>
                      <w:tab w:val="left" w:pos="3360"/>
                    </w:tabs>
                    <w:snapToGrid w:val="0"/>
                    <w:jc w:val="center"/>
                    <w:rPr>
                      <w:rFonts w:ascii="宋体" w:hAnsi="宋体"/>
                      <w:bCs/>
                      <w:color w:val="auto"/>
                      <w:sz w:val="21"/>
                      <w:szCs w:val="21"/>
                    </w:rPr>
                  </w:pPr>
                </w:p>
              </w:tc>
              <w:tc>
                <w:tcPr>
                  <w:tcW w:w="1701" w:type="dxa"/>
                  <w:vMerge w:val="continue"/>
                  <w:noWrap w:val="0"/>
                  <w:vAlign w:val="center"/>
                </w:tcPr>
                <w:p w14:paraId="04594687">
                  <w:pPr>
                    <w:snapToGrid w:val="0"/>
                    <w:rPr>
                      <w:rFonts w:ascii="宋体" w:hAnsi="宋体"/>
                      <w:bCs/>
                      <w:color w:val="auto"/>
                      <w:sz w:val="21"/>
                      <w:szCs w:val="21"/>
                    </w:rPr>
                  </w:pPr>
                </w:p>
              </w:tc>
              <w:tc>
                <w:tcPr>
                  <w:tcW w:w="4686" w:type="dxa"/>
                  <w:noWrap w:val="0"/>
                  <w:vAlign w:val="center"/>
                </w:tcPr>
                <w:p w14:paraId="5EA498C3">
                  <w:pPr>
                    <w:snapToGrid w:val="0"/>
                    <w:rPr>
                      <w:rFonts w:ascii="宋体" w:hAnsi="宋体"/>
                      <w:bCs/>
                      <w:iCs/>
                      <w:color w:val="auto"/>
                      <w:sz w:val="21"/>
                      <w:szCs w:val="21"/>
                    </w:rPr>
                  </w:pPr>
                  <w:r>
                    <w:rPr>
                      <w:rFonts w:hint="eastAsia" w:ascii="宋体" w:hAnsi="宋体" w:cs="宋体"/>
                      <w:bCs/>
                      <w:iCs/>
                      <w:color w:val="auto"/>
                      <w:sz w:val="21"/>
                      <w:szCs w:val="21"/>
                    </w:rPr>
                    <w:t>服务质量控制措施（5分）</w:t>
                  </w:r>
                </w:p>
                <w:p w14:paraId="7BE715FF">
                  <w:pPr>
                    <w:snapToGrid w:val="0"/>
                    <w:rPr>
                      <w:rFonts w:ascii="宋体" w:hAnsi="宋体"/>
                      <w:bCs/>
                      <w:iCs/>
                      <w:color w:val="auto"/>
                      <w:sz w:val="21"/>
                      <w:szCs w:val="21"/>
                    </w:rPr>
                  </w:pPr>
                  <w:r>
                    <w:rPr>
                      <w:rFonts w:hint="eastAsia" w:ascii="宋体" w:hAnsi="宋体" w:cs="宋体"/>
                      <w:bCs/>
                      <w:iCs/>
                      <w:color w:val="auto"/>
                      <w:sz w:val="21"/>
                      <w:szCs w:val="21"/>
                    </w:rPr>
                    <w:t>各项陪护服务质量管控措施、操作流程的合理性、规范性，服务质量满意度、护理人员的稳定性等有效机制，优5分，良2分，合格1分，不合格得0分。</w:t>
                  </w:r>
                </w:p>
              </w:tc>
              <w:tc>
                <w:tcPr>
                  <w:tcW w:w="2254" w:type="dxa"/>
                  <w:vMerge w:val="continue"/>
                  <w:noWrap w:val="0"/>
                  <w:vAlign w:val="center"/>
                </w:tcPr>
                <w:p w14:paraId="52DC33D2">
                  <w:pPr>
                    <w:snapToGrid w:val="0"/>
                    <w:jc w:val="center"/>
                    <w:rPr>
                      <w:rFonts w:ascii="宋体" w:hAnsi="宋体"/>
                      <w:bCs/>
                      <w:color w:val="auto"/>
                      <w:sz w:val="21"/>
                      <w:szCs w:val="21"/>
                    </w:rPr>
                  </w:pPr>
                </w:p>
              </w:tc>
            </w:tr>
            <w:tr w14:paraId="60EE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4134CE4E">
                  <w:pPr>
                    <w:tabs>
                      <w:tab w:val="left" w:pos="3360"/>
                    </w:tabs>
                    <w:snapToGrid w:val="0"/>
                    <w:rPr>
                      <w:rFonts w:ascii="宋体" w:hAnsi="宋体"/>
                      <w:bCs/>
                      <w:color w:val="auto"/>
                      <w:sz w:val="21"/>
                      <w:szCs w:val="21"/>
                    </w:rPr>
                  </w:pPr>
                </w:p>
              </w:tc>
              <w:tc>
                <w:tcPr>
                  <w:tcW w:w="709" w:type="dxa"/>
                  <w:vMerge w:val="continue"/>
                  <w:noWrap w:val="0"/>
                  <w:vAlign w:val="center"/>
                </w:tcPr>
                <w:p w14:paraId="2184F9BC">
                  <w:pPr>
                    <w:tabs>
                      <w:tab w:val="left" w:pos="3360"/>
                    </w:tabs>
                    <w:snapToGrid w:val="0"/>
                    <w:jc w:val="center"/>
                    <w:rPr>
                      <w:rFonts w:ascii="宋体" w:hAnsi="宋体"/>
                      <w:bCs/>
                      <w:color w:val="auto"/>
                      <w:sz w:val="21"/>
                      <w:szCs w:val="21"/>
                    </w:rPr>
                  </w:pPr>
                </w:p>
              </w:tc>
              <w:tc>
                <w:tcPr>
                  <w:tcW w:w="1701" w:type="dxa"/>
                  <w:vMerge w:val="continue"/>
                  <w:noWrap w:val="0"/>
                  <w:vAlign w:val="center"/>
                </w:tcPr>
                <w:p w14:paraId="7EF499DD">
                  <w:pPr>
                    <w:snapToGrid w:val="0"/>
                    <w:rPr>
                      <w:rFonts w:ascii="宋体" w:hAnsi="宋体"/>
                      <w:bCs/>
                      <w:color w:val="auto"/>
                      <w:sz w:val="21"/>
                      <w:szCs w:val="21"/>
                    </w:rPr>
                  </w:pPr>
                </w:p>
              </w:tc>
              <w:tc>
                <w:tcPr>
                  <w:tcW w:w="4686" w:type="dxa"/>
                  <w:noWrap w:val="0"/>
                  <w:vAlign w:val="center"/>
                </w:tcPr>
                <w:p w14:paraId="4CFBBB63">
                  <w:pPr>
                    <w:snapToGrid w:val="0"/>
                    <w:rPr>
                      <w:rFonts w:ascii="宋体" w:hAnsi="宋体"/>
                      <w:bCs/>
                      <w:iCs/>
                      <w:color w:val="auto"/>
                      <w:sz w:val="21"/>
                      <w:szCs w:val="21"/>
                    </w:rPr>
                  </w:pPr>
                  <w:r>
                    <w:rPr>
                      <w:rFonts w:hint="eastAsia" w:ascii="宋体" w:hAnsi="宋体" w:cs="宋体"/>
                      <w:bCs/>
                      <w:iCs/>
                      <w:color w:val="auto"/>
                      <w:sz w:val="21"/>
                      <w:szCs w:val="21"/>
                    </w:rPr>
                    <w:t>资源提供及成本控制（5分）</w:t>
                  </w:r>
                </w:p>
                <w:p w14:paraId="320F2242">
                  <w:pPr>
                    <w:snapToGrid w:val="0"/>
                    <w:rPr>
                      <w:rFonts w:ascii="宋体" w:hAnsi="宋体"/>
                      <w:bCs/>
                      <w:iCs/>
                      <w:color w:val="auto"/>
                      <w:sz w:val="21"/>
                      <w:szCs w:val="21"/>
                    </w:rPr>
                  </w:pPr>
                  <w:r>
                    <w:rPr>
                      <w:rFonts w:hint="eastAsia" w:ascii="宋体" w:hAnsi="宋体" w:cs="宋体"/>
                      <w:bCs/>
                      <w:iCs/>
                      <w:color w:val="auto"/>
                      <w:sz w:val="21"/>
                      <w:szCs w:val="21"/>
                    </w:rPr>
                    <w:t>供应商为护工提供陪护生活照护工作的基本需求物品是否完善，以及供应商的服务方案在降低医院能耗方面做出有针对性的举措且切实可行的情况，优5分，良2分，合格1分，不合格得0分。</w:t>
                  </w:r>
                </w:p>
              </w:tc>
              <w:tc>
                <w:tcPr>
                  <w:tcW w:w="2254" w:type="dxa"/>
                  <w:vMerge w:val="continue"/>
                  <w:noWrap w:val="0"/>
                  <w:vAlign w:val="center"/>
                </w:tcPr>
                <w:p w14:paraId="141CBA65">
                  <w:pPr>
                    <w:snapToGrid w:val="0"/>
                    <w:jc w:val="center"/>
                    <w:rPr>
                      <w:rFonts w:ascii="宋体" w:hAnsi="宋体"/>
                      <w:bCs/>
                      <w:color w:val="auto"/>
                      <w:sz w:val="21"/>
                      <w:szCs w:val="21"/>
                    </w:rPr>
                  </w:pPr>
                </w:p>
              </w:tc>
            </w:tr>
            <w:tr w14:paraId="35DE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5D694EB6">
                  <w:pPr>
                    <w:tabs>
                      <w:tab w:val="left" w:pos="3360"/>
                    </w:tabs>
                    <w:snapToGrid w:val="0"/>
                    <w:rPr>
                      <w:rFonts w:ascii="宋体" w:hAnsi="宋体"/>
                      <w:bCs/>
                      <w:color w:val="auto"/>
                      <w:sz w:val="21"/>
                      <w:szCs w:val="21"/>
                    </w:rPr>
                  </w:pPr>
                </w:p>
              </w:tc>
              <w:tc>
                <w:tcPr>
                  <w:tcW w:w="709" w:type="dxa"/>
                  <w:vMerge w:val="continue"/>
                  <w:noWrap w:val="0"/>
                  <w:vAlign w:val="center"/>
                </w:tcPr>
                <w:p w14:paraId="6471B785">
                  <w:pPr>
                    <w:tabs>
                      <w:tab w:val="left" w:pos="3360"/>
                    </w:tabs>
                    <w:snapToGrid w:val="0"/>
                    <w:jc w:val="center"/>
                    <w:rPr>
                      <w:rFonts w:ascii="宋体" w:hAnsi="宋体"/>
                      <w:bCs/>
                      <w:color w:val="auto"/>
                      <w:sz w:val="21"/>
                      <w:szCs w:val="21"/>
                    </w:rPr>
                  </w:pPr>
                </w:p>
              </w:tc>
              <w:tc>
                <w:tcPr>
                  <w:tcW w:w="1701" w:type="dxa"/>
                  <w:vMerge w:val="continue"/>
                  <w:noWrap w:val="0"/>
                  <w:vAlign w:val="center"/>
                </w:tcPr>
                <w:p w14:paraId="5BB41CA9">
                  <w:pPr>
                    <w:snapToGrid w:val="0"/>
                    <w:rPr>
                      <w:rFonts w:ascii="宋体" w:hAnsi="宋体"/>
                      <w:bCs/>
                      <w:color w:val="auto"/>
                      <w:sz w:val="21"/>
                      <w:szCs w:val="21"/>
                    </w:rPr>
                  </w:pPr>
                </w:p>
              </w:tc>
              <w:tc>
                <w:tcPr>
                  <w:tcW w:w="4686" w:type="dxa"/>
                  <w:noWrap w:val="0"/>
                  <w:vAlign w:val="center"/>
                </w:tcPr>
                <w:p w14:paraId="449C1F17">
                  <w:pPr>
                    <w:snapToGrid w:val="0"/>
                    <w:rPr>
                      <w:rFonts w:ascii="宋体" w:hAnsi="宋体"/>
                      <w:bCs/>
                      <w:iCs/>
                      <w:color w:val="auto"/>
                      <w:sz w:val="21"/>
                      <w:szCs w:val="21"/>
                    </w:rPr>
                  </w:pPr>
                  <w:r>
                    <w:rPr>
                      <w:rFonts w:hint="eastAsia" w:ascii="宋体" w:hAnsi="宋体" w:cs="宋体"/>
                      <w:bCs/>
                      <w:iCs/>
                      <w:color w:val="auto"/>
                      <w:sz w:val="21"/>
                      <w:szCs w:val="21"/>
                    </w:rPr>
                    <w:t>陪护服务协助医疗环境和秩序改善（5分）</w:t>
                  </w:r>
                </w:p>
                <w:p w14:paraId="1464E2C0">
                  <w:pPr>
                    <w:snapToGrid w:val="0"/>
                    <w:rPr>
                      <w:rFonts w:ascii="宋体" w:hAnsi="宋体"/>
                      <w:bCs/>
                      <w:iCs/>
                      <w:color w:val="auto"/>
                      <w:sz w:val="21"/>
                      <w:szCs w:val="21"/>
                    </w:rPr>
                  </w:pPr>
                  <w:r>
                    <w:rPr>
                      <w:rFonts w:hint="eastAsia" w:ascii="宋体" w:hAnsi="宋体" w:cs="宋体"/>
                      <w:bCs/>
                      <w:iCs/>
                      <w:color w:val="auto"/>
                      <w:sz w:val="21"/>
                      <w:szCs w:val="21"/>
                    </w:rPr>
                    <w:t>陪护服务方案对改善医疗环境和秩序能起到切实可行的改善作用，且有积极影响的，优5分，良2分，合格1分，不合格得0分。</w:t>
                  </w:r>
                </w:p>
              </w:tc>
              <w:tc>
                <w:tcPr>
                  <w:tcW w:w="2254" w:type="dxa"/>
                  <w:vMerge w:val="continue"/>
                  <w:noWrap w:val="0"/>
                  <w:vAlign w:val="center"/>
                </w:tcPr>
                <w:p w14:paraId="30A64C96">
                  <w:pPr>
                    <w:snapToGrid w:val="0"/>
                    <w:jc w:val="center"/>
                    <w:rPr>
                      <w:rFonts w:ascii="宋体" w:hAnsi="宋体"/>
                      <w:bCs/>
                      <w:color w:val="auto"/>
                      <w:sz w:val="21"/>
                      <w:szCs w:val="21"/>
                    </w:rPr>
                  </w:pPr>
                </w:p>
              </w:tc>
            </w:tr>
            <w:tr w14:paraId="6E87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43C8D317">
                  <w:pPr>
                    <w:tabs>
                      <w:tab w:val="left" w:pos="3360"/>
                    </w:tabs>
                    <w:snapToGrid w:val="0"/>
                    <w:rPr>
                      <w:rFonts w:ascii="宋体" w:hAnsi="宋体"/>
                      <w:bCs/>
                      <w:color w:val="auto"/>
                      <w:sz w:val="21"/>
                      <w:szCs w:val="21"/>
                    </w:rPr>
                  </w:pPr>
                </w:p>
              </w:tc>
              <w:tc>
                <w:tcPr>
                  <w:tcW w:w="709" w:type="dxa"/>
                  <w:vMerge w:val="continue"/>
                  <w:noWrap w:val="0"/>
                  <w:vAlign w:val="center"/>
                </w:tcPr>
                <w:p w14:paraId="04E3CF34">
                  <w:pPr>
                    <w:tabs>
                      <w:tab w:val="left" w:pos="3360"/>
                    </w:tabs>
                    <w:snapToGrid w:val="0"/>
                    <w:jc w:val="center"/>
                    <w:rPr>
                      <w:rFonts w:ascii="宋体" w:hAnsi="宋体"/>
                      <w:bCs/>
                      <w:color w:val="auto"/>
                      <w:sz w:val="21"/>
                      <w:szCs w:val="21"/>
                    </w:rPr>
                  </w:pPr>
                </w:p>
              </w:tc>
              <w:tc>
                <w:tcPr>
                  <w:tcW w:w="1701" w:type="dxa"/>
                  <w:noWrap w:val="0"/>
                  <w:vAlign w:val="center"/>
                </w:tcPr>
                <w:p w14:paraId="18876F82">
                  <w:pPr>
                    <w:snapToGrid w:val="0"/>
                    <w:jc w:val="center"/>
                    <w:rPr>
                      <w:rFonts w:hint="eastAsia" w:ascii="宋体" w:hAnsi="宋体"/>
                      <w:bCs/>
                      <w:color w:val="auto"/>
                      <w:sz w:val="21"/>
                      <w:szCs w:val="21"/>
                    </w:rPr>
                  </w:pPr>
                  <w:r>
                    <w:rPr>
                      <w:rFonts w:hint="eastAsia" w:ascii="宋体" w:hAnsi="宋体" w:cs="宋体"/>
                      <w:bCs/>
                      <w:color w:val="auto"/>
                      <w:sz w:val="21"/>
                      <w:szCs w:val="21"/>
                    </w:rPr>
                    <w:t>相关管理制度方案</w:t>
                  </w:r>
                </w:p>
                <w:p w14:paraId="33D2F876">
                  <w:pPr>
                    <w:snapToGrid w:val="0"/>
                    <w:jc w:val="center"/>
                    <w:rPr>
                      <w:rFonts w:ascii="宋体" w:hAnsi="宋体"/>
                      <w:bCs/>
                      <w:color w:val="auto"/>
                      <w:sz w:val="21"/>
                      <w:szCs w:val="21"/>
                    </w:rPr>
                  </w:pPr>
                  <w:r>
                    <w:rPr>
                      <w:rFonts w:hint="eastAsia" w:ascii="宋体" w:hAnsi="宋体" w:cs="宋体"/>
                      <w:bCs/>
                      <w:color w:val="auto"/>
                      <w:sz w:val="21"/>
                      <w:szCs w:val="21"/>
                    </w:rPr>
                    <w:t>（15）</w:t>
                  </w:r>
                </w:p>
              </w:tc>
              <w:tc>
                <w:tcPr>
                  <w:tcW w:w="4686" w:type="dxa"/>
                  <w:noWrap w:val="0"/>
                  <w:vAlign w:val="center"/>
                </w:tcPr>
                <w:p w14:paraId="7CE446F0">
                  <w:pPr>
                    <w:snapToGrid w:val="0"/>
                    <w:rPr>
                      <w:rFonts w:ascii="宋体" w:hAnsi="宋体"/>
                      <w:bCs/>
                      <w:iCs/>
                      <w:color w:val="auto"/>
                      <w:sz w:val="21"/>
                      <w:szCs w:val="21"/>
                    </w:rPr>
                  </w:pPr>
                  <w:r>
                    <w:rPr>
                      <w:rFonts w:hint="eastAsia" w:ascii="宋体" w:hAnsi="宋体" w:cs="宋体"/>
                      <w:bCs/>
                      <w:iCs/>
                      <w:color w:val="auto"/>
                      <w:sz w:val="21"/>
                      <w:szCs w:val="21"/>
                    </w:rPr>
                    <w:t>1.人力资源管理制度（5分）</w:t>
                  </w:r>
                </w:p>
                <w:p w14:paraId="6026E11E">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根据医院实际情况所提供的人力资源管理文件完善、合理程度，包含人力资源应急调配机制的有效性、合理性及可落实性，优5分，良3分，合格1分，不合格得0分。</w:t>
                  </w:r>
                </w:p>
                <w:p w14:paraId="1DED005F">
                  <w:pPr>
                    <w:snapToGrid w:val="0"/>
                    <w:rPr>
                      <w:rFonts w:ascii="宋体" w:hAnsi="宋体"/>
                      <w:bCs/>
                      <w:iCs/>
                      <w:color w:val="auto"/>
                      <w:sz w:val="21"/>
                      <w:szCs w:val="21"/>
                    </w:rPr>
                  </w:pPr>
                  <w:r>
                    <w:rPr>
                      <w:rFonts w:hint="eastAsia" w:ascii="宋体" w:hAnsi="宋体" w:cs="宋体"/>
                      <w:bCs/>
                      <w:iCs/>
                      <w:color w:val="auto"/>
                      <w:sz w:val="21"/>
                      <w:szCs w:val="21"/>
                    </w:rPr>
                    <w:t>2.</w:t>
                  </w:r>
                  <w:r>
                    <w:rPr>
                      <w:rFonts w:hint="eastAsia" w:ascii="宋体" w:hAnsi="宋体" w:cs="宋体"/>
                      <w:bCs/>
                      <w:iCs/>
                      <w:color w:val="auto"/>
                      <w:sz w:val="21"/>
                      <w:szCs w:val="21"/>
                      <w:lang w:eastAsia="zh-CN"/>
                    </w:rPr>
                    <w:t>护工人员</w:t>
                  </w:r>
                  <w:r>
                    <w:rPr>
                      <w:rFonts w:hint="eastAsia" w:ascii="宋体" w:hAnsi="宋体" w:cs="宋体"/>
                      <w:bCs/>
                      <w:iCs/>
                      <w:color w:val="auto"/>
                      <w:sz w:val="21"/>
                      <w:szCs w:val="21"/>
                    </w:rPr>
                    <w:t>培训管理制度（5分）</w:t>
                  </w:r>
                </w:p>
                <w:p w14:paraId="02C4276C">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根据医院实际情况所提供的培训制度的完善程度及合理性，包含培训时间、内容、频率及考核考评办法，优5分，良3分，合格1分，不合格得0分。</w:t>
                  </w:r>
                </w:p>
                <w:p w14:paraId="70B449A6">
                  <w:pPr>
                    <w:snapToGrid w:val="0"/>
                    <w:rPr>
                      <w:rFonts w:ascii="宋体" w:hAnsi="宋体"/>
                      <w:bCs/>
                      <w:iCs/>
                      <w:color w:val="auto"/>
                      <w:sz w:val="21"/>
                      <w:szCs w:val="21"/>
                    </w:rPr>
                  </w:pPr>
                  <w:r>
                    <w:rPr>
                      <w:rFonts w:hint="eastAsia" w:ascii="宋体" w:hAnsi="宋体" w:cs="宋体"/>
                      <w:bCs/>
                      <w:iCs/>
                      <w:color w:val="auto"/>
                      <w:sz w:val="21"/>
                      <w:szCs w:val="21"/>
                    </w:rPr>
                    <w:t>3.护理员监管制度（5分）</w:t>
                  </w:r>
                </w:p>
                <w:p w14:paraId="5A7352FF">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根据医院实际情况所提供的护工监管制度，是否明确岗位职责、工作内容，规范服务行为，有相应的工作奖惩激励措施，并有制度规范确保奖惩落实到位，优5分，良3分，合格1分，不合格得0分。</w:t>
                  </w:r>
                </w:p>
              </w:tc>
              <w:tc>
                <w:tcPr>
                  <w:tcW w:w="2254" w:type="dxa"/>
                  <w:vMerge w:val="continue"/>
                  <w:noWrap w:val="0"/>
                  <w:vAlign w:val="center"/>
                </w:tcPr>
                <w:p w14:paraId="46A36740">
                  <w:pPr>
                    <w:snapToGrid w:val="0"/>
                    <w:jc w:val="center"/>
                    <w:rPr>
                      <w:rFonts w:ascii="宋体" w:hAnsi="宋体"/>
                      <w:bCs/>
                      <w:color w:val="auto"/>
                      <w:sz w:val="21"/>
                      <w:szCs w:val="21"/>
                    </w:rPr>
                  </w:pPr>
                </w:p>
              </w:tc>
            </w:tr>
            <w:tr w14:paraId="05E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6" w:hRule="atLeast"/>
                <w:jc w:val="center"/>
              </w:trPr>
              <w:tc>
                <w:tcPr>
                  <w:tcW w:w="462" w:type="dxa"/>
                  <w:vMerge w:val="continue"/>
                  <w:noWrap w:val="0"/>
                  <w:vAlign w:val="center"/>
                </w:tcPr>
                <w:p w14:paraId="7223692E">
                  <w:pPr>
                    <w:tabs>
                      <w:tab w:val="left" w:pos="3360"/>
                    </w:tabs>
                    <w:snapToGrid w:val="0"/>
                    <w:rPr>
                      <w:rFonts w:ascii="宋体" w:hAnsi="宋体"/>
                      <w:bCs/>
                      <w:color w:val="auto"/>
                      <w:sz w:val="21"/>
                      <w:szCs w:val="21"/>
                    </w:rPr>
                  </w:pPr>
                </w:p>
              </w:tc>
              <w:tc>
                <w:tcPr>
                  <w:tcW w:w="709" w:type="dxa"/>
                  <w:vMerge w:val="continue"/>
                  <w:noWrap w:val="0"/>
                  <w:vAlign w:val="center"/>
                </w:tcPr>
                <w:p w14:paraId="4BF41900">
                  <w:pPr>
                    <w:tabs>
                      <w:tab w:val="left" w:pos="3360"/>
                    </w:tabs>
                    <w:snapToGrid w:val="0"/>
                    <w:jc w:val="center"/>
                    <w:rPr>
                      <w:rFonts w:ascii="宋体" w:hAnsi="宋体"/>
                      <w:bCs/>
                      <w:color w:val="auto"/>
                      <w:sz w:val="21"/>
                      <w:szCs w:val="21"/>
                    </w:rPr>
                  </w:pPr>
                </w:p>
              </w:tc>
              <w:tc>
                <w:tcPr>
                  <w:tcW w:w="1701" w:type="dxa"/>
                  <w:noWrap w:val="0"/>
                  <w:vAlign w:val="center"/>
                </w:tcPr>
                <w:p w14:paraId="4980243F">
                  <w:pPr>
                    <w:snapToGrid w:val="0"/>
                    <w:jc w:val="center"/>
                    <w:rPr>
                      <w:rFonts w:ascii="宋体" w:hAnsi="宋体"/>
                      <w:bCs/>
                      <w:color w:val="auto"/>
                      <w:sz w:val="21"/>
                      <w:szCs w:val="21"/>
                    </w:rPr>
                  </w:pPr>
                  <w:r>
                    <w:rPr>
                      <w:rFonts w:hint="eastAsia" w:ascii="宋体" w:hAnsi="宋体" w:cs="宋体"/>
                      <w:bCs/>
                      <w:color w:val="auto"/>
                      <w:sz w:val="21"/>
                      <w:szCs w:val="21"/>
                    </w:rPr>
                    <w:t>安全保障（5）</w:t>
                  </w:r>
                </w:p>
              </w:tc>
              <w:tc>
                <w:tcPr>
                  <w:tcW w:w="4686" w:type="dxa"/>
                  <w:noWrap w:val="0"/>
                  <w:vAlign w:val="center"/>
                </w:tcPr>
                <w:p w14:paraId="56F0E7DB">
                  <w:pPr>
                    <w:rPr>
                      <w:rFonts w:hint="eastAsia" w:ascii="宋体" w:hAnsi="宋体" w:cs="宋体"/>
                      <w:color w:val="auto"/>
                      <w:sz w:val="21"/>
                      <w:szCs w:val="21"/>
                    </w:rPr>
                  </w:pPr>
                  <w:r>
                    <w:rPr>
                      <w:rFonts w:hint="eastAsia" w:ascii="宋体" w:hAnsi="宋体" w:cs="宋体"/>
                      <w:color w:val="auto"/>
                      <w:sz w:val="21"/>
                      <w:szCs w:val="21"/>
                      <w:lang w:val="en-US" w:eastAsia="zh-CN"/>
                    </w:rPr>
                    <w:t>规范签订劳务或劳动合同，</w:t>
                  </w:r>
                  <w:r>
                    <w:rPr>
                      <w:rFonts w:hint="eastAsia" w:ascii="宋体" w:hAnsi="宋体" w:cs="宋体"/>
                      <w:color w:val="auto"/>
                      <w:sz w:val="21"/>
                      <w:szCs w:val="21"/>
                    </w:rPr>
                    <w:t>对陪护人员安全措施具体详细，有较完善的安全管理制度、措施并为陪护人员购买保险（意外、第三方责任险</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社会保险等</w:t>
                  </w:r>
                  <w:r>
                    <w:rPr>
                      <w:rFonts w:hint="eastAsia" w:ascii="宋体" w:hAnsi="宋体" w:cs="宋体"/>
                      <w:color w:val="auto"/>
                      <w:sz w:val="21"/>
                      <w:szCs w:val="21"/>
                    </w:rPr>
                    <w:t>）</w:t>
                  </w:r>
                </w:p>
                <w:p w14:paraId="339C2AA2">
                  <w:pPr>
                    <w:snapToGrid w:val="0"/>
                    <w:rPr>
                      <w:rFonts w:ascii="宋体" w:hAnsi="宋体"/>
                      <w:bCs/>
                      <w:color w:val="auto"/>
                      <w:sz w:val="21"/>
                      <w:szCs w:val="21"/>
                    </w:rPr>
                  </w:pPr>
                </w:p>
              </w:tc>
              <w:tc>
                <w:tcPr>
                  <w:tcW w:w="2254" w:type="dxa"/>
                  <w:noWrap w:val="0"/>
                  <w:vAlign w:val="center"/>
                </w:tcPr>
                <w:p w14:paraId="0A2FDD3F">
                  <w:pPr>
                    <w:snapToGrid w:val="0"/>
                    <w:jc w:val="center"/>
                    <w:rPr>
                      <w:rFonts w:ascii="宋体" w:hAnsi="宋体"/>
                      <w:bCs/>
                      <w:color w:val="auto"/>
                      <w:sz w:val="21"/>
                      <w:szCs w:val="21"/>
                    </w:rPr>
                  </w:pPr>
                </w:p>
                <w:p w14:paraId="2877ACE1">
                  <w:pPr>
                    <w:snapToGrid w:val="0"/>
                    <w:rPr>
                      <w:rFonts w:ascii="宋体" w:hAnsi="宋体"/>
                      <w:bCs/>
                      <w:color w:val="auto"/>
                      <w:sz w:val="21"/>
                      <w:szCs w:val="21"/>
                    </w:rPr>
                  </w:pPr>
                  <w:r>
                    <w:rPr>
                      <w:rFonts w:hint="eastAsia" w:ascii="宋体" w:hAnsi="宋体" w:cs="宋体"/>
                      <w:color w:val="auto"/>
                      <w:sz w:val="21"/>
                      <w:szCs w:val="21"/>
                    </w:rPr>
                    <w:t>（需提供</w:t>
                  </w:r>
                  <w:r>
                    <w:rPr>
                      <w:rFonts w:hint="eastAsia" w:ascii="宋体" w:hAnsi="宋体" w:cs="宋体"/>
                      <w:color w:val="auto"/>
                      <w:sz w:val="21"/>
                      <w:szCs w:val="21"/>
                      <w:lang w:eastAsia="zh-CN"/>
                    </w:rPr>
                    <w:t>有效期内的</w:t>
                  </w:r>
                  <w:r>
                    <w:rPr>
                      <w:rFonts w:hint="eastAsia" w:ascii="宋体" w:hAnsi="宋体" w:cs="宋体"/>
                      <w:color w:val="auto"/>
                      <w:sz w:val="21"/>
                      <w:szCs w:val="21"/>
                    </w:rPr>
                    <w:t>保险（意外、第三方责任险）合同复印件，原件备查；未提供保险（意外、第三方责任险）合同复印件该项不得分；）</w:t>
                  </w:r>
                  <w:r>
                    <w:rPr>
                      <w:rFonts w:hint="eastAsia" w:ascii="宋体" w:hAnsi="宋体" w:cs="宋体"/>
                      <w:bCs/>
                      <w:color w:val="auto"/>
                      <w:sz w:val="21"/>
                      <w:szCs w:val="21"/>
                    </w:rPr>
                    <w:t>。</w:t>
                  </w:r>
                </w:p>
              </w:tc>
            </w:tr>
            <w:tr w14:paraId="2BA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4" w:hRule="atLeast"/>
                <w:jc w:val="center"/>
              </w:trPr>
              <w:tc>
                <w:tcPr>
                  <w:tcW w:w="462" w:type="dxa"/>
                  <w:vMerge w:val="continue"/>
                  <w:noWrap w:val="0"/>
                  <w:vAlign w:val="center"/>
                </w:tcPr>
                <w:p w14:paraId="16BD514A">
                  <w:pPr>
                    <w:tabs>
                      <w:tab w:val="left" w:pos="3360"/>
                    </w:tabs>
                    <w:snapToGrid w:val="0"/>
                    <w:rPr>
                      <w:rFonts w:ascii="宋体" w:hAnsi="宋体"/>
                      <w:bCs/>
                      <w:color w:val="auto"/>
                      <w:sz w:val="21"/>
                      <w:szCs w:val="21"/>
                    </w:rPr>
                  </w:pPr>
                </w:p>
              </w:tc>
              <w:tc>
                <w:tcPr>
                  <w:tcW w:w="709" w:type="dxa"/>
                  <w:vMerge w:val="continue"/>
                  <w:noWrap w:val="0"/>
                  <w:vAlign w:val="center"/>
                </w:tcPr>
                <w:p w14:paraId="72AF7556">
                  <w:pPr>
                    <w:tabs>
                      <w:tab w:val="left" w:pos="3360"/>
                    </w:tabs>
                    <w:snapToGrid w:val="0"/>
                    <w:jc w:val="center"/>
                    <w:rPr>
                      <w:rFonts w:ascii="宋体" w:hAnsi="宋体"/>
                      <w:bCs/>
                      <w:color w:val="auto"/>
                      <w:sz w:val="21"/>
                      <w:szCs w:val="21"/>
                    </w:rPr>
                  </w:pPr>
                </w:p>
              </w:tc>
              <w:tc>
                <w:tcPr>
                  <w:tcW w:w="1701" w:type="dxa"/>
                  <w:noWrap w:val="0"/>
                  <w:vAlign w:val="center"/>
                </w:tcPr>
                <w:p w14:paraId="10C23BDD">
                  <w:pPr>
                    <w:snapToGrid w:val="0"/>
                    <w:jc w:val="center"/>
                    <w:rPr>
                      <w:rFonts w:ascii="宋体" w:hAnsi="宋体"/>
                      <w:bCs/>
                      <w:color w:val="auto"/>
                      <w:sz w:val="21"/>
                      <w:szCs w:val="21"/>
                    </w:rPr>
                  </w:pPr>
                  <w:r>
                    <w:rPr>
                      <w:rFonts w:hint="eastAsia" w:ascii="宋体" w:hAnsi="宋体" w:cs="宋体"/>
                      <w:bCs/>
                      <w:color w:val="auto"/>
                      <w:sz w:val="21"/>
                      <w:szCs w:val="21"/>
                    </w:rPr>
                    <w:t>突发事件应急预案（5）</w:t>
                  </w:r>
                </w:p>
              </w:tc>
              <w:tc>
                <w:tcPr>
                  <w:tcW w:w="4686" w:type="dxa"/>
                  <w:noWrap w:val="0"/>
                  <w:vAlign w:val="center"/>
                </w:tcPr>
                <w:p w14:paraId="4F289C77">
                  <w:pPr>
                    <w:snapToGrid w:val="0"/>
                    <w:rPr>
                      <w:rFonts w:ascii="宋体" w:hAnsi="宋体"/>
                      <w:bCs/>
                      <w:color w:val="auto"/>
                      <w:sz w:val="21"/>
                      <w:szCs w:val="21"/>
                    </w:rPr>
                  </w:pPr>
                  <w:r>
                    <w:rPr>
                      <w:rFonts w:hint="eastAsia" w:ascii="宋体" w:hAnsi="宋体" w:cs="宋体"/>
                      <w:bCs/>
                      <w:color w:val="auto"/>
                      <w:sz w:val="21"/>
                      <w:szCs w:val="21"/>
                    </w:rPr>
                    <w:t>突</w:t>
                  </w:r>
                  <w:r>
                    <w:rPr>
                      <w:rFonts w:hint="eastAsia" w:ascii="宋体" w:hAnsi="宋体" w:cs="宋体"/>
                      <w:bCs/>
                      <w:color w:val="auto"/>
                      <w:sz w:val="21"/>
                      <w:szCs w:val="21"/>
                      <w:lang w:eastAsia="zh-CN"/>
                    </w:rPr>
                    <w:t>发</w:t>
                  </w:r>
                  <w:r>
                    <w:rPr>
                      <w:rFonts w:hint="eastAsia" w:ascii="宋体" w:hAnsi="宋体" w:cs="宋体"/>
                      <w:bCs/>
                      <w:color w:val="auto"/>
                      <w:sz w:val="21"/>
                      <w:szCs w:val="21"/>
                    </w:rPr>
                    <w:t>保障任务及突发问题处理方案：</w:t>
                  </w:r>
                </w:p>
                <w:p w14:paraId="06D2AF4B">
                  <w:pPr>
                    <w:snapToGrid w:val="0"/>
                    <w:rPr>
                      <w:rFonts w:ascii="宋体" w:hAnsi="宋体"/>
                      <w:bCs/>
                      <w:color w:val="auto"/>
                      <w:sz w:val="21"/>
                      <w:szCs w:val="21"/>
                    </w:rPr>
                  </w:pPr>
                  <w:r>
                    <w:rPr>
                      <w:rFonts w:hint="eastAsia" w:ascii="宋体" w:hAnsi="宋体" w:cs="宋体"/>
                      <w:bCs/>
                      <w:color w:val="auto"/>
                      <w:sz w:val="21"/>
                      <w:szCs w:val="21"/>
                    </w:rPr>
                    <w:t>根据医院实际情况提供的突击保障任务及突发问题应急预案（包括如法定节假日、患者跌倒/坠床及意外走失等的应对措施）的合理情况，方案</w:t>
                  </w:r>
                  <w:r>
                    <w:rPr>
                      <w:rFonts w:hint="eastAsia" w:ascii="宋体" w:hAnsi="宋体" w:cs="宋体"/>
                      <w:bCs/>
                      <w:iCs/>
                      <w:color w:val="auto"/>
                      <w:sz w:val="21"/>
                      <w:szCs w:val="21"/>
                    </w:rPr>
                    <w:t>优5分，良2分，合格1分，不合格得0分。</w:t>
                  </w:r>
                </w:p>
              </w:tc>
              <w:tc>
                <w:tcPr>
                  <w:tcW w:w="2254" w:type="dxa"/>
                  <w:vMerge w:val="restart"/>
                  <w:noWrap w:val="0"/>
                  <w:vAlign w:val="center"/>
                </w:tcPr>
                <w:p w14:paraId="4F150F30">
                  <w:pPr>
                    <w:widowControl/>
                    <w:jc w:val="left"/>
                    <w:rPr>
                      <w:rFonts w:hint="eastAsia" w:ascii="宋体" w:hAnsi="宋体" w:cs="宋体"/>
                      <w:color w:val="auto"/>
                      <w:sz w:val="21"/>
                      <w:szCs w:val="21"/>
                    </w:rPr>
                  </w:pPr>
                  <w:r>
                    <w:rPr>
                      <w:rFonts w:hint="eastAsia" w:ascii="宋体" w:hAnsi="宋体" w:cs="宋体"/>
                      <w:color w:val="auto"/>
                      <w:sz w:val="21"/>
                      <w:szCs w:val="21"/>
                    </w:rPr>
                    <w:t>提供方案，格式自拟。</w:t>
                  </w:r>
                </w:p>
                <w:p w14:paraId="6EC00397">
                  <w:pPr>
                    <w:widowControl/>
                    <w:jc w:val="left"/>
                    <w:rPr>
                      <w:rFonts w:hint="eastAsia" w:ascii="宋体" w:hAnsi="宋体" w:cs="宋体"/>
                      <w:color w:val="auto"/>
                      <w:sz w:val="21"/>
                      <w:szCs w:val="21"/>
                    </w:rPr>
                  </w:pPr>
                  <w:r>
                    <w:rPr>
                      <w:rFonts w:hint="eastAsia" w:ascii="宋体" w:hAnsi="宋体" w:cs="宋体"/>
                      <w:color w:val="auto"/>
                      <w:sz w:val="21"/>
                      <w:szCs w:val="21"/>
                    </w:rPr>
                    <w:t>方案评审标准：</w:t>
                  </w:r>
                </w:p>
                <w:p w14:paraId="35E12E35">
                  <w:pPr>
                    <w:widowControl/>
                    <w:jc w:val="left"/>
                    <w:rPr>
                      <w:rFonts w:hint="eastAsia" w:ascii="宋体" w:hAnsi="宋体" w:cs="宋体"/>
                      <w:color w:val="auto"/>
                      <w:sz w:val="21"/>
                      <w:szCs w:val="21"/>
                    </w:rPr>
                  </w:pPr>
                  <w:r>
                    <w:rPr>
                      <w:rFonts w:hint="eastAsia" w:ascii="宋体" w:hAnsi="宋体" w:cs="宋体"/>
                      <w:color w:val="auto"/>
                      <w:sz w:val="21"/>
                      <w:szCs w:val="21"/>
                    </w:rPr>
                    <w:t>本项内容中所称的“瑕疵”指：</w:t>
                  </w:r>
                </w:p>
                <w:p w14:paraId="75A12A03">
                  <w:pPr>
                    <w:widowControl/>
                    <w:jc w:val="left"/>
                    <w:rPr>
                      <w:rFonts w:hint="eastAsia" w:ascii="宋体" w:hAnsi="宋体" w:cs="宋体"/>
                      <w:color w:val="auto"/>
                      <w:sz w:val="21"/>
                      <w:szCs w:val="21"/>
                    </w:rPr>
                  </w:pPr>
                  <w:r>
                    <w:rPr>
                      <w:rFonts w:hint="eastAsia" w:ascii="宋体" w:hAnsi="宋体" w:cs="宋体"/>
                      <w:color w:val="auto"/>
                      <w:sz w:val="21"/>
                      <w:szCs w:val="21"/>
                    </w:rPr>
                    <w:t>1）方案出现内容缺项、表述不完整或缺少关键分析点；</w:t>
                  </w:r>
                </w:p>
                <w:p w14:paraId="590D77BC">
                  <w:pPr>
                    <w:widowControl/>
                    <w:jc w:val="left"/>
                    <w:rPr>
                      <w:rFonts w:hint="eastAsia" w:ascii="宋体" w:hAnsi="宋体" w:cs="宋体"/>
                      <w:color w:val="auto"/>
                      <w:sz w:val="21"/>
                      <w:szCs w:val="21"/>
                    </w:rPr>
                  </w:pPr>
                  <w:r>
                    <w:rPr>
                      <w:rFonts w:hint="eastAsia" w:ascii="宋体" w:hAnsi="宋体" w:cs="宋体"/>
                      <w:color w:val="auto"/>
                      <w:sz w:val="21"/>
                      <w:szCs w:val="21"/>
                    </w:rPr>
                    <w:t>2）缺乏科学合理性，存在逻辑漏洞、常识错误；</w:t>
                  </w:r>
                </w:p>
                <w:p w14:paraId="52E6C974">
                  <w:pPr>
                    <w:widowControl/>
                    <w:jc w:val="left"/>
                    <w:rPr>
                      <w:rFonts w:hint="eastAsia" w:ascii="宋体" w:hAnsi="宋体" w:cs="宋体"/>
                      <w:color w:val="auto"/>
                      <w:sz w:val="21"/>
                      <w:szCs w:val="21"/>
                    </w:rPr>
                  </w:pPr>
                  <w:r>
                    <w:rPr>
                      <w:rFonts w:hint="eastAsia" w:ascii="宋体" w:hAnsi="宋体" w:cs="宋体"/>
                      <w:color w:val="auto"/>
                      <w:sz w:val="21"/>
                      <w:szCs w:val="21"/>
                    </w:rPr>
                    <w:t>3）表述前后矛盾、无连贯性；</w:t>
                  </w:r>
                </w:p>
                <w:p w14:paraId="7DE81C08">
                  <w:pPr>
                    <w:widowControl/>
                    <w:jc w:val="left"/>
                    <w:rPr>
                      <w:rFonts w:hint="eastAsia" w:ascii="宋体" w:hAnsi="宋体" w:cs="宋体"/>
                      <w:color w:val="auto"/>
                      <w:sz w:val="21"/>
                      <w:szCs w:val="21"/>
                    </w:rPr>
                  </w:pPr>
                  <w:r>
                    <w:rPr>
                      <w:rFonts w:hint="eastAsia" w:ascii="宋体" w:hAnsi="宋体" w:cs="宋体"/>
                      <w:color w:val="auto"/>
                      <w:sz w:val="21"/>
                      <w:szCs w:val="21"/>
                    </w:rPr>
                    <w:t>4）方案安排并不适用本项目特性或非专门针对本项目制定，不利于本项目的目的实现；</w:t>
                  </w:r>
                </w:p>
                <w:p w14:paraId="014640D2">
                  <w:pPr>
                    <w:widowControl/>
                    <w:jc w:val="left"/>
                    <w:rPr>
                      <w:rFonts w:hint="eastAsia" w:ascii="宋体" w:hAnsi="宋体" w:cs="宋体"/>
                      <w:color w:val="auto"/>
                      <w:sz w:val="21"/>
                      <w:szCs w:val="21"/>
                    </w:rPr>
                  </w:pPr>
                  <w:r>
                    <w:rPr>
                      <w:rFonts w:hint="eastAsia" w:ascii="宋体" w:hAnsi="宋体" w:cs="宋体"/>
                      <w:color w:val="auto"/>
                      <w:sz w:val="21"/>
                      <w:szCs w:val="21"/>
                    </w:rPr>
                    <w:t>5）现有条件下不可能实现的情形。</w:t>
                  </w:r>
                </w:p>
                <w:p w14:paraId="0AE9AEF3">
                  <w:pPr>
                    <w:snapToGrid w:val="0"/>
                    <w:jc w:val="center"/>
                    <w:rPr>
                      <w:rFonts w:ascii="宋体" w:hAnsi="宋体"/>
                      <w:bCs/>
                      <w:color w:val="auto"/>
                      <w:sz w:val="21"/>
                      <w:szCs w:val="21"/>
                    </w:rPr>
                  </w:pPr>
                  <w:r>
                    <w:rPr>
                      <w:rFonts w:hint="eastAsia" w:ascii="宋体" w:hAnsi="宋体" w:cs="宋体"/>
                      <w:color w:val="auto"/>
                      <w:sz w:val="21"/>
                      <w:szCs w:val="21"/>
                    </w:rPr>
                    <w:t>上述任意一种情形为1处瑕疵。内容无瑕疵或1处得5分，2处瑕疵得2分，3处瑕疵得1分，4处及以上得0分。</w:t>
                  </w:r>
                </w:p>
              </w:tc>
            </w:tr>
            <w:tr w14:paraId="5D3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2" w:type="dxa"/>
                  <w:vMerge w:val="continue"/>
                  <w:noWrap w:val="0"/>
                  <w:vAlign w:val="center"/>
                </w:tcPr>
                <w:p w14:paraId="4FB4EF74">
                  <w:pPr>
                    <w:tabs>
                      <w:tab w:val="left" w:pos="3360"/>
                    </w:tabs>
                    <w:snapToGrid w:val="0"/>
                    <w:rPr>
                      <w:rFonts w:ascii="宋体" w:hAnsi="宋体"/>
                      <w:bCs/>
                      <w:color w:val="auto"/>
                      <w:sz w:val="21"/>
                      <w:szCs w:val="21"/>
                    </w:rPr>
                  </w:pPr>
                </w:p>
              </w:tc>
              <w:tc>
                <w:tcPr>
                  <w:tcW w:w="709" w:type="dxa"/>
                  <w:vMerge w:val="continue"/>
                  <w:noWrap w:val="0"/>
                  <w:vAlign w:val="center"/>
                </w:tcPr>
                <w:p w14:paraId="0F45E28F">
                  <w:pPr>
                    <w:tabs>
                      <w:tab w:val="left" w:pos="3360"/>
                    </w:tabs>
                    <w:snapToGrid w:val="0"/>
                    <w:jc w:val="center"/>
                    <w:rPr>
                      <w:rFonts w:ascii="宋体" w:hAnsi="宋体"/>
                      <w:bCs/>
                      <w:color w:val="auto"/>
                      <w:sz w:val="21"/>
                      <w:szCs w:val="21"/>
                    </w:rPr>
                  </w:pPr>
                </w:p>
              </w:tc>
              <w:tc>
                <w:tcPr>
                  <w:tcW w:w="1701" w:type="dxa"/>
                  <w:noWrap w:val="0"/>
                  <w:vAlign w:val="center"/>
                </w:tcPr>
                <w:p w14:paraId="71A430FA">
                  <w:pPr>
                    <w:snapToGrid w:val="0"/>
                    <w:jc w:val="center"/>
                    <w:rPr>
                      <w:rFonts w:hint="eastAsia" w:ascii="宋体" w:hAnsi="宋体" w:cs="宋体"/>
                      <w:bCs/>
                      <w:color w:val="auto"/>
                      <w:sz w:val="21"/>
                      <w:szCs w:val="21"/>
                    </w:rPr>
                  </w:pPr>
                  <w:r>
                    <w:rPr>
                      <w:rFonts w:hint="eastAsia" w:ascii="宋体" w:hAnsi="宋体" w:cs="宋体"/>
                      <w:bCs/>
                      <w:color w:val="auto"/>
                      <w:sz w:val="21"/>
                      <w:szCs w:val="21"/>
                    </w:rPr>
                    <w:t>解决问题机制（5）</w:t>
                  </w:r>
                </w:p>
              </w:tc>
              <w:tc>
                <w:tcPr>
                  <w:tcW w:w="4686" w:type="dxa"/>
                  <w:noWrap w:val="0"/>
                  <w:vAlign w:val="center"/>
                </w:tcPr>
                <w:p w14:paraId="659CEE43">
                  <w:pPr>
                    <w:snapToGrid w:val="0"/>
                    <w:rPr>
                      <w:rFonts w:hint="eastAsia" w:ascii="宋体" w:hAnsi="宋体" w:cs="宋体"/>
                      <w:bCs/>
                      <w:color w:val="auto"/>
                      <w:sz w:val="21"/>
                      <w:szCs w:val="21"/>
                    </w:rPr>
                  </w:pPr>
                  <w:r>
                    <w:rPr>
                      <w:rFonts w:hint="eastAsia" w:ascii="宋体" w:hAnsi="宋体" w:cs="宋体"/>
                      <w:bCs/>
                      <w:color w:val="auto"/>
                      <w:sz w:val="21"/>
                      <w:szCs w:val="21"/>
                    </w:rPr>
                    <w:t>投诉及服务事故纠纷的预防解决机制，并承诺（不承诺不得分）；方案优5分，良2分，合格1分，不合格得0分。</w:t>
                  </w:r>
                </w:p>
              </w:tc>
              <w:tc>
                <w:tcPr>
                  <w:tcW w:w="2254" w:type="dxa"/>
                  <w:vMerge w:val="continue"/>
                  <w:noWrap w:val="0"/>
                  <w:vAlign w:val="center"/>
                </w:tcPr>
                <w:p w14:paraId="4ACBB661">
                  <w:pPr>
                    <w:snapToGrid w:val="0"/>
                    <w:jc w:val="center"/>
                    <w:rPr>
                      <w:rFonts w:hint="eastAsia" w:ascii="宋体" w:hAnsi="宋体" w:cs="宋体"/>
                      <w:color w:val="auto"/>
                      <w:sz w:val="21"/>
                      <w:szCs w:val="21"/>
                    </w:rPr>
                  </w:pPr>
                </w:p>
              </w:tc>
            </w:tr>
            <w:tr w14:paraId="70B5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2" w:type="dxa"/>
                  <w:vMerge w:val="continue"/>
                  <w:noWrap w:val="0"/>
                  <w:vAlign w:val="center"/>
                </w:tcPr>
                <w:p w14:paraId="565DA915">
                  <w:pPr>
                    <w:tabs>
                      <w:tab w:val="left" w:pos="3360"/>
                    </w:tabs>
                    <w:snapToGrid w:val="0"/>
                    <w:rPr>
                      <w:rFonts w:ascii="宋体" w:hAnsi="宋体"/>
                      <w:bCs/>
                      <w:color w:val="auto"/>
                      <w:sz w:val="21"/>
                      <w:szCs w:val="21"/>
                    </w:rPr>
                  </w:pPr>
                </w:p>
              </w:tc>
              <w:tc>
                <w:tcPr>
                  <w:tcW w:w="709" w:type="dxa"/>
                  <w:vMerge w:val="continue"/>
                  <w:noWrap w:val="0"/>
                  <w:vAlign w:val="center"/>
                </w:tcPr>
                <w:p w14:paraId="31CD6457">
                  <w:pPr>
                    <w:tabs>
                      <w:tab w:val="left" w:pos="3360"/>
                    </w:tabs>
                    <w:snapToGrid w:val="0"/>
                    <w:jc w:val="center"/>
                    <w:rPr>
                      <w:rFonts w:ascii="宋体" w:hAnsi="宋体"/>
                      <w:bCs/>
                      <w:color w:val="auto"/>
                      <w:sz w:val="21"/>
                      <w:szCs w:val="21"/>
                    </w:rPr>
                  </w:pPr>
                </w:p>
              </w:tc>
              <w:tc>
                <w:tcPr>
                  <w:tcW w:w="1701" w:type="dxa"/>
                  <w:noWrap w:val="0"/>
                  <w:vAlign w:val="center"/>
                </w:tcPr>
                <w:p w14:paraId="6D4DBCC9">
                  <w:pPr>
                    <w:snapToGrid w:val="0"/>
                    <w:jc w:val="center"/>
                    <w:rPr>
                      <w:rFonts w:ascii="宋体" w:hAnsi="宋体"/>
                      <w:bCs/>
                      <w:color w:val="auto"/>
                      <w:sz w:val="21"/>
                      <w:szCs w:val="21"/>
                    </w:rPr>
                  </w:pPr>
                  <w:r>
                    <w:rPr>
                      <w:rFonts w:hint="eastAsia" w:ascii="宋体" w:hAnsi="宋体" w:cs="宋体"/>
                      <w:bCs/>
                      <w:color w:val="auto"/>
                      <w:sz w:val="21"/>
                      <w:szCs w:val="21"/>
                    </w:rPr>
                    <w:t>信息化智能服务（5）</w:t>
                  </w:r>
                </w:p>
              </w:tc>
              <w:tc>
                <w:tcPr>
                  <w:tcW w:w="4686" w:type="dxa"/>
                  <w:noWrap w:val="0"/>
                  <w:vAlign w:val="center"/>
                </w:tcPr>
                <w:p w14:paraId="72E52A37">
                  <w:pPr>
                    <w:snapToGrid w:val="0"/>
                    <w:rPr>
                      <w:rFonts w:hint="eastAsia" w:ascii="宋体" w:hAnsi="宋体" w:cs="宋体"/>
                      <w:bCs/>
                      <w:color w:val="auto"/>
                      <w:sz w:val="21"/>
                      <w:szCs w:val="21"/>
                    </w:rPr>
                  </w:pPr>
                  <w:r>
                    <w:rPr>
                      <w:rFonts w:hint="eastAsia" w:ascii="宋体" w:hAnsi="宋体" w:cs="宋体"/>
                      <w:bCs/>
                      <w:color w:val="auto"/>
                      <w:sz w:val="21"/>
                      <w:szCs w:val="21"/>
                    </w:rPr>
                    <w:t>供应商具有医院智能化服务有成熟的运营经验，采用信息化系统，能够对服务人员</w:t>
                  </w:r>
                  <w:r>
                    <w:rPr>
                      <w:rFonts w:hint="eastAsia" w:ascii="宋体" w:hAnsi="宋体" w:cs="宋体"/>
                      <w:bCs/>
                      <w:color w:val="auto"/>
                      <w:sz w:val="21"/>
                      <w:szCs w:val="21"/>
                      <w:lang w:eastAsia="zh-Hans"/>
                    </w:rPr>
                    <w:t>进行线上培训</w:t>
                  </w:r>
                  <w:r>
                    <w:rPr>
                      <w:rFonts w:hint="eastAsia" w:ascii="宋体" w:hAnsi="宋体" w:cs="宋体"/>
                      <w:bCs/>
                      <w:color w:val="auto"/>
                      <w:sz w:val="21"/>
                      <w:szCs w:val="21"/>
                    </w:rPr>
                    <w:t>、服务过程及满意度进行监控，并方便医院随时进行调阅。根据供应商的投标文件的内容进行对比打分，最高得5分</w:t>
                  </w:r>
                  <w:r>
                    <w:rPr>
                      <w:rFonts w:hint="eastAsia" w:ascii="宋体" w:hAnsi="宋体" w:cs="宋体"/>
                      <w:bCs/>
                      <w:color w:val="auto"/>
                      <w:sz w:val="21"/>
                      <w:szCs w:val="21"/>
                      <w:lang w:eastAsia="zh-Hans"/>
                    </w:rPr>
                    <w:t>，</w:t>
                  </w:r>
                  <w:r>
                    <w:rPr>
                      <w:rFonts w:hint="eastAsia" w:ascii="宋体" w:hAnsi="宋体" w:cs="宋体"/>
                      <w:bCs/>
                      <w:color w:val="auto"/>
                      <w:sz w:val="21"/>
                      <w:szCs w:val="21"/>
                    </w:rPr>
                    <w:t>其次得2分，差得1分，无相关内容得0分</w:t>
                  </w:r>
                  <w:r>
                    <w:rPr>
                      <w:rFonts w:hint="eastAsia" w:ascii="宋体" w:hAnsi="宋体" w:cs="宋体"/>
                      <w:bCs/>
                      <w:color w:val="auto"/>
                      <w:sz w:val="21"/>
                      <w:szCs w:val="21"/>
                      <w:lang w:eastAsia="zh-Hans"/>
                    </w:rPr>
                    <w:t>。</w:t>
                  </w:r>
                </w:p>
              </w:tc>
              <w:tc>
                <w:tcPr>
                  <w:tcW w:w="2254" w:type="dxa"/>
                  <w:noWrap w:val="0"/>
                  <w:vAlign w:val="center"/>
                </w:tcPr>
                <w:p w14:paraId="00BF4B8C">
                  <w:pPr>
                    <w:snapToGrid w:val="0"/>
                    <w:rPr>
                      <w:rFonts w:hint="eastAsia" w:ascii="宋体" w:hAnsi="宋体"/>
                      <w:bCs/>
                      <w:color w:val="auto"/>
                      <w:sz w:val="21"/>
                      <w:szCs w:val="21"/>
                    </w:rPr>
                  </w:pPr>
                  <w:r>
                    <w:rPr>
                      <w:rFonts w:hint="eastAsia" w:ascii="宋体" w:hAnsi="宋体" w:cs="宋体"/>
                      <w:bCs/>
                      <w:color w:val="auto"/>
                      <w:sz w:val="21"/>
                      <w:szCs w:val="21"/>
                    </w:rPr>
                    <w:t>提供佐证资料，实体查看，未提供者此项不得分，原件备查。</w:t>
                  </w:r>
                </w:p>
              </w:tc>
            </w:tr>
            <w:tr w14:paraId="242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62" w:type="dxa"/>
                  <w:vMerge w:val="restart"/>
                  <w:noWrap w:val="0"/>
                  <w:vAlign w:val="center"/>
                </w:tcPr>
                <w:p w14:paraId="6FBF442C">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3</w:t>
                  </w:r>
                </w:p>
              </w:tc>
              <w:tc>
                <w:tcPr>
                  <w:tcW w:w="709" w:type="dxa"/>
                  <w:vMerge w:val="restart"/>
                  <w:noWrap w:val="0"/>
                  <w:vAlign w:val="center"/>
                </w:tcPr>
                <w:p w14:paraId="1D089C6B">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商务部分（30）</w:t>
                  </w:r>
                </w:p>
              </w:tc>
              <w:tc>
                <w:tcPr>
                  <w:tcW w:w="1701" w:type="dxa"/>
                  <w:noWrap w:val="0"/>
                  <w:vAlign w:val="center"/>
                </w:tcPr>
                <w:p w14:paraId="2B1621B4">
                  <w:pPr>
                    <w:pStyle w:val="12"/>
                    <w:snapToGrid w:val="0"/>
                    <w:spacing w:line="240" w:lineRule="auto"/>
                    <w:ind w:firstLine="0"/>
                    <w:jc w:val="center"/>
                    <w:rPr>
                      <w:bCs/>
                      <w:strike/>
                      <w:color w:val="auto"/>
                      <w:kern w:val="0"/>
                      <w:sz w:val="21"/>
                      <w:szCs w:val="21"/>
                      <w:lang w:val="en-US"/>
                    </w:rPr>
                  </w:pPr>
                </w:p>
              </w:tc>
              <w:tc>
                <w:tcPr>
                  <w:tcW w:w="4686" w:type="dxa"/>
                  <w:noWrap w:val="0"/>
                  <w:vAlign w:val="center"/>
                </w:tcPr>
                <w:p w14:paraId="1CE5CA5A">
                  <w:pPr>
                    <w:snapToGrid w:val="0"/>
                    <w:rPr>
                      <w:rFonts w:hint="eastAsia" w:ascii="宋体" w:hAnsi="宋体" w:cs="宋体"/>
                      <w:bCs/>
                      <w:strike/>
                      <w:color w:val="auto"/>
                      <w:sz w:val="21"/>
                      <w:szCs w:val="21"/>
                    </w:rPr>
                  </w:pPr>
                </w:p>
              </w:tc>
              <w:tc>
                <w:tcPr>
                  <w:tcW w:w="2254" w:type="dxa"/>
                  <w:noWrap w:val="0"/>
                  <w:vAlign w:val="center"/>
                </w:tcPr>
                <w:p w14:paraId="775A30F3">
                  <w:pPr>
                    <w:snapToGrid w:val="0"/>
                    <w:rPr>
                      <w:rFonts w:ascii="宋体" w:hAnsi="宋体"/>
                      <w:bCs/>
                      <w:strike/>
                      <w:color w:val="auto"/>
                      <w:sz w:val="21"/>
                      <w:szCs w:val="21"/>
                    </w:rPr>
                  </w:pPr>
                </w:p>
              </w:tc>
            </w:tr>
            <w:tr w14:paraId="1DCF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62" w:type="dxa"/>
                  <w:vMerge w:val="continue"/>
                  <w:noWrap w:val="0"/>
                  <w:vAlign w:val="center"/>
                </w:tcPr>
                <w:p w14:paraId="2E745CAE">
                  <w:pPr>
                    <w:tabs>
                      <w:tab w:val="left" w:pos="3360"/>
                    </w:tabs>
                    <w:snapToGrid w:val="0"/>
                    <w:jc w:val="center"/>
                    <w:rPr>
                      <w:rFonts w:ascii="宋体" w:hAnsi="宋体"/>
                      <w:bCs/>
                      <w:color w:val="auto"/>
                      <w:sz w:val="21"/>
                      <w:szCs w:val="21"/>
                    </w:rPr>
                  </w:pPr>
                </w:p>
              </w:tc>
              <w:tc>
                <w:tcPr>
                  <w:tcW w:w="709" w:type="dxa"/>
                  <w:vMerge w:val="continue"/>
                  <w:noWrap w:val="0"/>
                  <w:vAlign w:val="center"/>
                </w:tcPr>
                <w:p w14:paraId="20B2BA5A">
                  <w:pPr>
                    <w:tabs>
                      <w:tab w:val="left" w:pos="3360"/>
                    </w:tabs>
                    <w:snapToGrid w:val="0"/>
                    <w:jc w:val="center"/>
                    <w:rPr>
                      <w:rFonts w:ascii="宋体" w:hAnsi="宋体"/>
                      <w:bCs/>
                      <w:color w:val="auto"/>
                      <w:sz w:val="21"/>
                      <w:szCs w:val="21"/>
                    </w:rPr>
                  </w:pPr>
                </w:p>
              </w:tc>
              <w:tc>
                <w:tcPr>
                  <w:tcW w:w="1701" w:type="dxa"/>
                  <w:noWrap w:val="0"/>
                  <w:vAlign w:val="center"/>
                </w:tcPr>
                <w:p w14:paraId="410B2435">
                  <w:pPr>
                    <w:snapToGrid w:val="0"/>
                    <w:jc w:val="center"/>
                    <w:rPr>
                      <w:rFonts w:ascii="宋体" w:hAnsi="宋体"/>
                      <w:bCs/>
                      <w:color w:val="auto"/>
                      <w:sz w:val="21"/>
                      <w:szCs w:val="21"/>
                    </w:rPr>
                  </w:pPr>
                  <w:r>
                    <w:rPr>
                      <w:rFonts w:hint="eastAsia" w:ascii="宋体" w:hAnsi="宋体"/>
                      <w:bCs/>
                      <w:color w:val="auto"/>
                      <w:sz w:val="21"/>
                      <w:szCs w:val="21"/>
                    </w:rPr>
                    <w:t>资质（</w:t>
                  </w:r>
                  <w:r>
                    <w:rPr>
                      <w:rFonts w:hint="eastAsia" w:ascii="宋体" w:hAnsi="宋体"/>
                      <w:bCs/>
                      <w:color w:val="auto"/>
                      <w:sz w:val="21"/>
                      <w:szCs w:val="21"/>
                      <w:lang w:val="en-US" w:eastAsia="zh-CN"/>
                    </w:rPr>
                    <w:t>12</w:t>
                  </w:r>
                  <w:r>
                    <w:rPr>
                      <w:rFonts w:hint="eastAsia" w:ascii="宋体" w:hAnsi="宋体"/>
                      <w:bCs/>
                      <w:color w:val="auto"/>
                      <w:sz w:val="21"/>
                      <w:szCs w:val="21"/>
                    </w:rPr>
                    <w:t>分）</w:t>
                  </w:r>
                </w:p>
              </w:tc>
              <w:tc>
                <w:tcPr>
                  <w:tcW w:w="4686" w:type="dxa"/>
                  <w:noWrap w:val="0"/>
                  <w:vAlign w:val="center"/>
                </w:tcPr>
                <w:p w14:paraId="78E5CEBA">
                  <w:pPr>
                    <w:snapToGrid w:val="0"/>
                    <w:rPr>
                      <w:rFonts w:hint="eastAsia" w:ascii="宋体" w:hAnsi="宋体" w:cs="宋体"/>
                      <w:bCs/>
                      <w:color w:val="auto"/>
                      <w:sz w:val="21"/>
                      <w:szCs w:val="21"/>
                    </w:rPr>
                  </w:pPr>
                  <w:r>
                    <w:rPr>
                      <w:rFonts w:hint="eastAsia" w:ascii="宋体" w:hAnsi="宋体" w:cs="宋体"/>
                      <w:bCs/>
                      <w:color w:val="auto"/>
                      <w:sz w:val="21"/>
                      <w:szCs w:val="21"/>
                    </w:rPr>
                    <w:t>1、通过ISO9001质量管理体系认证得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362AE29C">
                  <w:pPr>
                    <w:snapToGrid w:val="0"/>
                    <w:rPr>
                      <w:rFonts w:hint="eastAsia" w:ascii="宋体" w:hAnsi="宋体" w:cs="宋体"/>
                      <w:bCs/>
                      <w:color w:val="auto"/>
                      <w:sz w:val="21"/>
                      <w:szCs w:val="21"/>
                    </w:rPr>
                  </w:pPr>
                  <w:r>
                    <w:rPr>
                      <w:rFonts w:hint="eastAsia" w:ascii="宋体" w:hAnsi="宋体" w:cs="宋体"/>
                      <w:bCs/>
                      <w:color w:val="auto"/>
                      <w:sz w:val="21"/>
                      <w:szCs w:val="21"/>
                    </w:rPr>
                    <w:t>2、通过OHSAS18001职业健康安全管理体系认证的得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67F73E33">
                  <w:pPr>
                    <w:snapToGrid w:val="0"/>
                    <w:rPr>
                      <w:rFonts w:hint="eastAsia" w:ascii="宋体" w:hAnsi="宋体" w:cs="宋体"/>
                      <w:bCs/>
                      <w:color w:val="auto"/>
                      <w:sz w:val="21"/>
                      <w:szCs w:val="21"/>
                    </w:rPr>
                  </w:pPr>
                  <w:r>
                    <w:rPr>
                      <w:rFonts w:hint="eastAsia" w:ascii="宋体" w:hAnsi="宋体" w:cs="宋体"/>
                      <w:bCs/>
                      <w:color w:val="auto"/>
                      <w:sz w:val="21"/>
                      <w:szCs w:val="21"/>
                    </w:rPr>
                    <w:t>3、通过ISO14001环境管理体系认证的得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30B107C7">
                  <w:pPr>
                    <w:snapToGrid w:val="0"/>
                    <w:rPr>
                      <w:rFonts w:hint="eastAsia" w:ascii="宋体" w:hAnsi="宋体" w:cs="宋体"/>
                      <w:bCs/>
                      <w:color w:val="auto"/>
                      <w:sz w:val="21"/>
                      <w:szCs w:val="21"/>
                    </w:rPr>
                  </w:pPr>
                  <w:r>
                    <w:rPr>
                      <w:rFonts w:hint="eastAsia" w:ascii="宋体" w:hAnsi="宋体" w:cs="宋体"/>
                      <w:bCs/>
                      <w:color w:val="auto"/>
                      <w:sz w:val="21"/>
                      <w:szCs w:val="21"/>
                    </w:rPr>
                    <w:t>4、通过SA8000社会责任管理体系认证的得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5B6FBA4A">
                  <w:pPr>
                    <w:snapToGrid w:val="0"/>
                    <w:rPr>
                      <w:rFonts w:hint="eastAsia" w:ascii="宋体" w:hAnsi="宋体" w:cs="宋体"/>
                      <w:bCs/>
                      <w:color w:val="auto"/>
                      <w:sz w:val="21"/>
                      <w:szCs w:val="21"/>
                    </w:rPr>
                  </w:pPr>
                  <w:r>
                    <w:rPr>
                      <w:rFonts w:hint="eastAsia" w:ascii="宋体" w:hAnsi="宋体" w:cs="宋体"/>
                      <w:bCs/>
                      <w:color w:val="auto"/>
                      <w:sz w:val="21"/>
                      <w:szCs w:val="21"/>
                    </w:rPr>
                    <w:t>5、通过GB/T 31950-2015 诚信管理体系认证的得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798E07E3">
                  <w:pPr>
                    <w:snapToGrid w:val="0"/>
                    <w:rPr>
                      <w:rFonts w:hint="eastAsia" w:ascii="宋体" w:hAnsi="宋体" w:cs="宋体"/>
                      <w:bCs/>
                      <w:color w:val="auto"/>
                      <w:sz w:val="21"/>
                      <w:szCs w:val="21"/>
                    </w:rPr>
                  </w:pPr>
                  <w:r>
                    <w:rPr>
                      <w:rFonts w:hint="eastAsia" w:ascii="宋体" w:hAnsi="宋体" w:cs="宋体"/>
                      <w:bCs/>
                      <w:color w:val="auto"/>
                      <w:sz w:val="21"/>
                      <w:szCs w:val="21"/>
                    </w:rPr>
                    <w:t>6、通过信息安全管理体系认证的得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0B9EDB10">
                  <w:pPr>
                    <w:snapToGrid w:val="0"/>
                    <w:rPr>
                      <w:rFonts w:hint="eastAsia" w:ascii="宋体" w:hAnsi="宋体" w:cs="宋体"/>
                      <w:bCs/>
                      <w:color w:val="auto"/>
                      <w:sz w:val="21"/>
                      <w:szCs w:val="21"/>
                    </w:rPr>
                  </w:pPr>
                  <w:r>
                    <w:rPr>
                      <w:rFonts w:hint="eastAsia" w:ascii="宋体" w:hAnsi="宋体" w:cs="宋体"/>
                      <w:bCs/>
                      <w:color w:val="auto"/>
                      <w:sz w:val="21"/>
                      <w:szCs w:val="21"/>
                    </w:rPr>
                    <w:t>提供体系认证书经过审验的有效期内的证书复印件，否则不得0分；</w:t>
                  </w:r>
                </w:p>
              </w:tc>
              <w:tc>
                <w:tcPr>
                  <w:tcW w:w="2254" w:type="dxa"/>
                  <w:noWrap w:val="0"/>
                  <w:vAlign w:val="center"/>
                </w:tcPr>
                <w:p w14:paraId="09062776">
                  <w:pPr>
                    <w:snapToGrid w:val="0"/>
                    <w:rPr>
                      <w:rFonts w:hint="eastAsia" w:ascii="宋体" w:hAnsi="宋体"/>
                      <w:bCs/>
                      <w:color w:val="auto"/>
                      <w:sz w:val="21"/>
                      <w:szCs w:val="21"/>
                    </w:rPr>
                  </w:pPr>
                  <w:r>
                    <w:rPr>
                      <w:rFonts w:hint="eastAsia" w:ascii="宋体" w:hAnsi="宋体" w:cs="宋体"/>
                      <w:bCs/>
                      <w:color w:val="auto"/>
                      <w:sz w:val="21"/>
                      <w:szCs w:val="21"/>
                    </w:rPr>
                    <w:t>提供有效期内的证书复印件，原件备查。</w:t>
                  </w:r>
                </w:p>
              </w:tc>
            </w:tr>
            <w:tr w14:paraId="726F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462" w:type="dxa"/>
                  <w:vMerge w:val="continue"/>
                  <w:noWrap w:val="0"/>
                  <w:vAlign w:val="center"/>
                </w:tcPr>
                <w:p w14:paraId="10ACA0E9">
                  <w:pPr>
                    <w:tabs>
                      <w:tab w:val="left" w:pos="3360"/>
                    </w:tabs>
                    <w:snapToGrid w:val="0"/>
                    <w:jc w:val="center"/>
                    <w:rPr>
                      <w:rFonts w:ascii="宋体" w:hAnsi="宋体"/>
                      <w:bCs/>
                      <w:color w:val="auto"/>
                      <w:sz w:val="21"/>
                      <w:szCs w:val="21"/>
                    </w:rPr>
                  </w:pPr>
                </w:p>
              </w:tc>
              <w:tc>
                <w:tcPr>
                  <w:tcW w:w="709" w:type="dxa"/>
                  <w:vMerge w:val="continue"/>
                  <w:noWrap w:val="0"/>
                  <w:vAlign w:val="center"/>
                </w:tcPr>
                <w:p w14:paraId="71323FDB">
                  <w:pPr>
                    <w:tabs>
                      <w:tab w:val="left" w:pos="3360"/>
                    </w:tabs>
                    <w:snapToGrid w:val="0"/>
                    <w:jc w:val="center"/>
                    <w:rPr>
                      <w:rFonts w:ascii="宋体" w:hAnsi="宋体"/>
                      <w:bCs/>
                      <w:color w:val="auto"/>
                      <w:sz w:val="21"/>
                      <w:szCs w:val="21"/>
                    </w:rPr>
                  </w:pPr>
                </w:p>
              </w:tc>
              <w:tc>
                <w:tcPr>
                  <w:tcW w:w="1701" w:type="dxa"/>
                  <w:vMerge w:val="restart"/>
                  <w:noWrap w:val="0"/>
                  <w:vAlign w:val="center"/>
                </w:tcPr>
                <w:p w14:paraId="27F71643">
                  <w:pPr>
                    <w:snapToGrid w:val="0"/>
                    <w:jc w:val="left"/>
                    <w:rPr>
                      <w:rFonts w:ascii="宋体" w:hAnsi="宋体"/>
                      <w:bCs/>
                      <w:color w:val="auto"/>
                      <w:sz w:val="21"/>
                      <w:szCs w:val="21"/>
                    </w:rPr>
                  </w:pPr>
                  <w:r>
                    <w:rPr>
                      <w:rFonts w:hint="eastAsia" w:ascii="宋体" w:hAnsi="宋体" w:cs="宋体"/>
                      <w:bCs/>
                      <w:color w:val="auto"/>
                      <w:sz w:val="21"/>
                      <w:szCs w:val="21"/>
                    </w:rPr>
                    <w:t>人力资源（18）</w:t>
                  </w:r>
                </w:p>
                <w:p w14:paraId="1C2D7C62">
                  <w:pPr>
                    <w:snapToGrid w:val="0"/>
                    <w:jc w:val="left"/>
                    <w:rPr>
                      <w:rFonts w:ascii="宋体" w:hAnsi="宋体"/>
                      <w:bCs/>
                      <w:color w:val="auto"/>
                      <w:sz w:val="21"/>
                      <w:szCs w:val="21"/>
                    </w:rPr>
                  </w:pPr>
                </w:p>
              </w:tc>
              <w:tc>
                <w:tcPr>
                  <w:tcW w:w="4686" w:type="dxa"/>
                  <w:noWrap w:val="0"/>
                  <w:vAlign w:val="center"/>
                </w:tcPr>
                <w:p w14:paraId="37E52536">
                  <w:pPr>
                    <w:widowControl/>
                    <w:numPr>
                      <w:ilvl w:val="0"/>
                      <w:numId w:val="2"/>
                    </w:numPr>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rPr>
                    <w:t>投标人为本项目配备的</w:t>
                  </w:r>
                  <w:r>
                    <w:rPr>
                      <w:rFonts w:hint="eastAsia" w:ascii="宋体" w:hAnsi="宋体" w:cs="宋体"/>
                      <w:color w:val="auto"/>
                      <w:sz w:val="21"/>
                      <w:szCs w:val="21"/>
                      <w:lang w:eastAsia="zh-Hans"/>
                    </w:rPr>
                    <w:t>项目经理</w:t>
                  </w:r>
                </w:p>
                <w:p w14:paraId="7E1F21E4">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（1）具有医学</w:t>
                  </w:r>
                  <w:r>
                    <w:rPr>
                      <w:rFonts w:hint="eastAsia" w:ascii="宋体" w:hAnsi="宋体" w:cs="宋体"/>
                      <w:color w:val="auto"/>
                      <w:sz w:val="21"/>
                      <w:szCs w:val="21"/>
                      <w:lang w:eastAsia="zh-Hans"/>
                    </w:rPr>
                    <w:t>或护理</w:t>
                  </w:r>
                  <w:r>
                    <w:rPr>
                      <w:rFonts w:hint="eastAsia" w:ascii="宋体" w:hAnsi="宋体" w:cs="宋体"/>
                      <w:color w:val="auto"/>
                      <w:sz w:val="21"/>
                      <w:szCs w:val="21"/>
                    </w:rPr>
                    <w:t>背景</w:t>
                  </w:r>
                  <w:r>
                    <w:rPr>
                      <w:rFonts w:hint="eastAsia" w:ascii="宋体" w:hAnsi="宋体" w:cs="宋体"/>
                      <w:color w:val="auto"/>
                      <w:sz w:val="21"/>
                      <w:szCs w:val="21"/>
                      <w:lang w:eastAsia="zh-Hans"/>
                    </w:rPr>
                    <w:t>，得</w:t>
                  </w:r>
                  <w:r>
                    <w:rPr>
                      <w:rFonts w:hint="eastAsia" w:ascii="宋体" w:hAnsi="宋体" w:cs="宋体"/>
                      <w:color w:val="auto"/>
                      <w:sz w:val="21"/>
                      <w:szCs w:val="21"/>
                    </w:rPr>
                    <w:t>2分；</w:t>
                  </w:r>
                </w:p>
                <w:p w14:paraId="708B6E64">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（2）学历在</w:t>
                  </w:r>
                  <w:r>
                    <w:rPr>
                      <w:rFonts w:hint="eastAsia" w:ascii="宋体" w:hAnsi="宋体" w:cs="宋体"/>
                      <w:color w:val="auto"/>
                      <w:sz w:val="21"/>
                      <w:szCs w:val="21"/>
                      <w:lang w:eastAsia="zh-Hans"/>
                    </w:rPr>
                    <w:t>大专及</w:t>
                  </w:r>
                  <w:r>
                    <w:rPr>
                      <w:rFonts w:hint="eastAsia" w:ascii="宋体" w:hAnsi="宋体" w:cs="宋体"/>
                      <w:color w:val="auto"/>
                      <w:sz w:val="21"/>
                      <w:szCs w:val="21"/>
                    </w:rPr>
                    <w:t>以上</w:t>
                  </w:r>
                  <w:r>
                    <w:rPr>
                      <w:rFonts w:hint="eastAsia" w:ascii="宋体" w:hAnsi="宋体" w:cs="宋体"/>
                      <w:color w:val="auto"/>
                      <w:sz w:val="21"/>
                      <w:szCs w:val="21"/>
                      <w:lang w:eastAsia="zh-Hans"/>
                    </w:rPr>
                    <w:t>，得</w:t>
                  </w:r>
                  <w:r>
                    <w:rPr>
                      <w:rFonts w:hint="eastAsia" w:ascii="宋体" w:hAnsi="宋体" w:cs="宋体"/>
                      <w:color w:val="auto"/>
                      <w:sz w:val="21"/>
                      <w:szCs w:val="21"/>
                    </w:rPr>
                    <w:t>2分；</w:t>
                  </w:r>
                </w:p>
                <w:p w14:paraId="5F6D5990">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Hans"/>
                    </w:rPr>
                    <w:t>三年及以上医院</w:t>
                  </w:r>
                  <w:r>
                    <w:rPr>
                      <w:rFonts w:hint="eastAsia" w:ascii="宋体" w:hAnsi="宋体" w:cs="宋体"/>
                      <w:color w:val="auto"/>
                      <w:sz w:val="21"/>
                      <w:szCs w:val="21"/>
                    </w:rPr>
                    <w:t>陪护</w:t>
                  </w:r>
                  <w:r>
                    <w:rPr>
                      <w:rFonts w:hint="eastAsia" w:ascii="宋体" w:hAnsi="宋体" w:cs="宋体"/>
                      <w:color w:val="auto"/>
                      <w:sz w:val="21"/>
                      <w:szCs w:val="21"/>
                      <w:lang w:eastAsia="zh-Hans"/>
                    </w:rPr>
                    <w:t>管理经验</w:t>
                  </w:r>
                  <w:r>
                    <w:rPr>
                      <w:rFonts w:hint="eastAsia" w:ascii="宋体" w:hAnsi="宋体" w:cs="宋体"/>
                      <w:color w:val="auto"/>
                      <w:sz w:val="21"/>
                      <w:szCs w:val="21"/>
                    </w:rPr>
                    <w:t>：</w:t>
                  </w:r>
                  <w:r>
                    <w:rPr>
                      <w:rFonts w:hint="eastAsia" w:ascii="宋体" w:hAnsi="宋体" w:cs="宋体"/>
                      <w:color w:val="auto"/>
                      <w:sz w:val="21"/>
                      <w:szCs w:val="21"/>
                      <w:lang w:eastAsia="zh-Hans"/>
                    </w:rPr>
                    <w:t>得</w:t>
                  </w:r>
                  <w:r>
                    <w:rPr>
                      <w:rFonts w:hint="eastAsia" w:ascii="宋体" w:hAnsi="宋体" w:cs="宋体"/>
                      <w:color w:val="auto"/>
                      <w:sz w:val="21"/>
                      <w:szCs w:val="21"/>
                    </w:rPr>
                    <w:t>3分；</w:t>
                  </w:r>
                </w:p>
                <w:p w14:paraId="2B140021">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rPr>
                    <w:t>2</w:t>
                  </w:r>
                  <w:r>
                    <w:rPr>
                      <w:rFonts w:hint="eastAsia" w:ascii="宋体" w:hAnsi="宋体" w:cs="宋体"/>
                      <w:color w:val="auto"/>
                      <w:sz w:val="21"/>
                      <w:szCs w:val="21"/>
                      <w:lang w:eastAsia="zh-Hans"/>
                    </w:rPr>
                    <w:t>、</w:t>
                  </w:r>
                  <w:r>
                    <w:rPr>
                      <w:rFonts w:hint="eastAsia" w:ascii="宋体" w:hAnsi="宋体" w:cs="宋体"/>
                      <w:color w:val="auto"/>
                      <w:sz w:val="21"/>
                      <w:szCs w:val="21"/>
                    </w:rPr>
                    <w:t>投标人为本项目配备</w:t>
                  </w:r>
                  <w:r>
                    <w:rPr>
                      <w:rFonts w:hint="eastAsia" w:ascii="宋体" w:hAnsi="宋体" w:cs="宋体"/>
                      <w:color w:val="auto"/>
                      <w:sz w:val="21"/>
                      <w:szCs w:val="21"/>
                      <w:lang w:eastAsia="zh-Hans"/>
                    </w:rPr>
                    <w:t>其他管理人员</w:t>
                  </w:r>
                </w:p>
                <w:p w14:paraId="102BB4C2">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lang w:eastAsia="zh-Hans"/>
                    </w:rPr>
                    <w:t>（</w:t>
                  </w:r>
                  <w:r>
                    <w:rPr>
                      <w:rFonts w:hint="eastAsia" w:ascii="宋体" w:hAnsi="宋体" w:cs="宋体"/>
                      <w:color w:val="auto"/>
                      <w:sz w:val="21"/>
                      <w:szCs w:val="21"/>
                    </w:rPr>
                    <w:t>1</w:t>
                  </w:r>
                  <w:r>
                    <w:rPr>
                      <w:rFonts w:hint="eastAsia" w:ascii="宋体" w:hAnsi="宋体" w:cs="宋体"/>
                      <w:color w:val="auto"/>
                      <w:sz w:val="21"/>
                      <w:szCs w:val="21"/>
                      <w:lang w:eastAsia="zh-Hans"/>
                    </w:rPr>
                    <w:t>）大专及以上学历得</w:t>
                  </w:r>
                  <w:r>
                    <w:rPr>
                      <w:rFonts w:hint="eastAsia" w:ascii="宋体" w:hAnsi="宋体" w:cs="宋体"/>
                      <w:color w:val="auto"/>
                      <w:sz w:val="21"/>
                      <w:szCs w:val="21"/>
                    </w:rPr>
                    <w:t>2</w:t>
                  </w:r>
                  <w:r>
                    <w:rPr>
                      <w:rFonts w:hint="eastAsia" w:ascii="宋体" w:hAnsi="宋体" w:cs="宋体"/>
                      <w:color w:val="auto"/>
                      <w:sz w:val="21"/>
                      <w:szCs w:val="21"/>
                      <w:lang w:eastAsia="zh-Hans"/>
                    </w:rPr>
                    <w:t>分。</w:t>
                  </w:r>
                </w:p>
                <w:p w14:paraId="20E6444C">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lang w:eastAsia="zh-Hans"/>
                    </w:rPr>
                    <w:t>（</w:t>
                  </w:r>
                  <w:r>
                    <w:rPr>
                      <w:rFonts w:hint="eastAsia" w:ascii="宋体" w:hAnsi="宋体" w:cs="宋体"/>
                      <w:color w:val="auto"/>
                      <w:sz w:val="21"/>
                      <w:szCs w:val="21"/>
                    </w:rPr>
                    <w:t>2</w:t>
                  </w:r>
                  <w:r>
                    <w:rPr>
                      <w:rFonts w:hint="eastAsia" w:ascii="宋体" w:hAnsi="宋体" w:cs="宋体"/>
                      <w:color w:val="auto"/>
                      <w:sz w:val="21"/>
                      <w:szCs w:val="21"/>
                      <w:lang w:eastAsia="zh-Hans"/>
                    </w:rPr>
                    <w:t>）二年</w:t>
                  </w:r>
                  <w:r>
                    <w:rPr>
                      <w:rFonts w:hint="eastAsia" w:ascii="宋体" w:hAnsi="宋体" w:cs="宋体"/>
                      <w:color w:val="auto"/>
                      <w:sz w:val="21"/>
                      <w:szCs w:val="21"/>
                    </w:rPr>
                    <w:t>及</w:t>
                  </w:r>
                  <w:r>
                    <w:rPr>
                      <w:rFonts w:hint="eastAsia" w:ascii="宋体" w:hAnsi="宋体" w:cs="宋体"/>
                      <w:color w:val="auto"/>
                      <w:sz w:val="21"/>
                      <w:szCs w:val="21"/>
                      <w:lang w:eastAsia="zh-Hans"/>
                    </w:rPr>
                    <w:t>以上医院陪护管理经验，得</w:t>
                  </w:r>
                  <w:r>
                    <w:rPr>
                      <w:rFonts w:hint="eastAsia" w:ascii="宋体" w:hAnsi="宋体" w:cs="宋体"/>
                      <w:color w:val="auto"/>
                      <w:sz w:val="21"/>
                      <w:szCs w:val="21"/>
                    </w:rPr>
                    <w:t>3</w:t>
                  </w:r>
                  <w:r>
                    <w:rPr>
                      <w:rFonts w:hint="eastAsia" w:ascii="宋体" w:hAnsi="宋体" w:cs="宋体"/>
                      <w:color w:val="auto"/>
                      <w:sz w:val="21"/>
                      <w:szCs w:val="21"/>
                      <w:lang w:eastAsia="zh-Hans"/>
                    </w:rPr>
                    <w:t>分。</w:t>
                  </w:r>
                </w:p>
                <w:p w14:paraId="3EF95D41">
                  <w:pPr>
                    <w:snapToGrid w:val="0"/>
                    <w:rPr>
                      <w:rFonts w:ascii="宋体" w:hAnsi="宋体"/>
                      <w:bCs/>
                      <w:color w:val="auto"/>
                      <w:sz w:val="21"/>
                      <w:szCs w:val="21"/>
                    </w:rPr>
                  </w:pPr>
                  <w:r>
                    <w:rPr>
                      <w:rFonts w:hint="eastAsia" w:ascii="宋体" w:hAnsi="宋体" w:cs="宋体"/>
                      <w:color w:val="auto"/>
                      <w:sz w:val="21"/>
                      <w:szCs w:val="21"/>
                      <w:lang w:eastAsia="zh-Hans"/>
                    </w:rPr>
                    <w:t>（</w:t>
                  </w:r>
                  <w:r>
                    <w:rPr>
                      <w:rFonts w:hint="eastAsia" w:ascii="宋体" w:hAnsi="宋体" w:cs="宋体"/>
                      <w:color w:val="auto"/>
                      <w:sz w:val="21"/>
                      <w:szCs w:val="21"/>
                    </w:rPr>
                    <w:t>提供证书复印件及投标截止日前不少于1个月投标人为其缴纳社保缴纳证明材料复印件。）</w:t>
                  </w:r>
                </w:p>
              </w:tc>
              <w:tc>
                <w:tcPr>
                  <w:tcW w:w="2254" w:type="dxa"/>
                  <w:noWrap w:val="0"/>
                  <w:vAlign w:val="center"/>
                </w:tcPr>
                <w:p w14:paraId="5C5ECFB7">
                  <w:pPr>
                    <w:snapToGrid w:val="0"/>
                    <w:rPr>
                      <w:rFonts w:ascii="宋体" w:hAnsi="宋体"/>
                      <w:bCs/>
                      <w:color w:val="auto"/>
                      <w:sz w:val="21"/>
                      <w:szCs w:val="21"/>
                    </w:rPr>
                  </w:pPr>
                  <w:r>
                    <w:rPr>
                      <w:rFonts w:ascii="FZFSK--GBK1-0" w:hAnsi="FZFSK--GBK1-0" w:eastAsia="FZFSK--GBK1-0" w:cs="FZFSK--GBK1-0"/>
                      <w:color w:val="auto"/>
                      <w:sz w:val="20"/>
                    </w:rPr>
                    <w:t>提供相关人员毕业证复印件等证明材料并加盖供应商公章</w:t>
                  </w:r>
                  <w:r>
                    <w:rPr>
                      <w:rFonts w:hint="eastAsia" w:ascii="FZFSK--GBK1-0" w:hAnsi="FZFSK--GBK1-0" w:eastAsia="宋体" w:cs="FZFSK--GBK1-0"/>
                      <w:color w:val="auto"/>
                      <w:sz w:val="20"/>
                      <w:lang w:eastAsia="zh-CN"/>
                    </w:rPr>
                    <w:t>，工作经历出具有效的工作证明</w:t>
                  </w:r>
                  <w:r>
                    <w:rPr>
                      <w:rFonts w:ascii="FZFSK--GBK1-0" w:hAnsi="FZFSK--GBK1-0" w:eastAsia="FZFSK--GBK1-0" w:cs="FZFSK--GBK1-0"/>
                      <w:color w:val="auto"/>
                      <w:sz w:val="20"/>
                    </w:rPr>
                    <w:t>。</w:t>
                  </w:r>
                </w:p>
              </w:tc>
            </w:tr>
            <w:tr w14:paraId="1686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62" w:type="dxa"/>
                  <w:vMerge w:val="continue"/>
                  <w:noWrap w:val="0"/>
                  <w:vAlign w:val="center"/>
                </w:tcPr>
                <w:p w14:paraId="51ED59A7">
                  <w:pPr>
                    <w:tabs>
                      <w:tab w:val="left" w:pos="3360"/>
                    </w:tabs>
                    <w:snapToGrid w:val="0"/>
                    <w:jc w:val="center"/>
                    <w:rPr>
                      <w:rFonts w:ascii="宋体" w:hAnsi="宋体"/>
                      <w:bCs/>
                      <w:color w:val="auto"/>
                      <w:sz w:val="21"/>
                      <w:szCs w:val="21"/>
                    </w:rPr>
                  </w:pPr>
                </w:p>
              </w:tc>
              <w:tc>
                <w:tcPr>
                  <w:tcW w:w="709" w:type="dxa"/>
                  <w:vMerge w:val="continue"/>
                  <w:noWrap w:val="0"/>
                  <w:vAlign w:val="center"/>
                </w:tcPr>
                <w:p w14:paraId="57F86447">
                  <w:pPr>
                    <w:tabs>
                      <w:tab w:val="left" w:pos="3360"/>
                    </w:tabs>
                    <w:snapToGrid w:val="0"/>
                    <w:jc w:val="center"/>
                    <w:rPr>
                      <w:rFonts w:ascii="宋体" w:hAnsi="宋体"/>
                      <w:bCs/>
                      <w:color w:val="auto"/>
                      <w:sz w:val="21"/>
                      <w:szCs w:val="21"/>
                    </w:rPr>
                  </w:pPr>
                </w:p>
              </w:tc>
              <w:tc>
                <w:tcPr>
                  <w:tcW w:w="1701" w:type="dxa"/>
                  <w:vMerge w:val="continue"/>
                  <w:noWrap w:val="0"/>
                  <w:vAlign w:val="center"/>
                </w:tcPr>
                <w:p w14:paraId="01BEC28A">
                  <w:pPr>
                    <w:snapToGrid w:val="0"/>
                    <w:jc w:val="center"/>
                    <w:rPr>
                      <w:rFonts w:ascii="宋体" w:hAnsi="宋体"/>
                      <w:bCs/>
                      <w:color w:val="auto"/>
                      <w:sz w:val="21"/>
                      <w:szCs w:val="21"/>
                    </w:rPr>
                  </w:pPr>
                </w:p>
              </w:tc>
              <w:tc>
                <w:tcPr>
                  <w:tcW w:w="4686" w:type="dxa"/>
                  <w:noWrap w:val="0"/>
                  <w:vAlign w:val="center"/>
                </w:tcPr>
                <w:p w14:paraId="4A4ED269">
                  <w:pPr>
                    <w:snapToGrid w:val="0"/>
                    <w:rPr>
                      <w:rFonts w:ascii="宋体" w:hAnsi="宋体"/>
                      <w:bCs/>
                      <w:color w:val="auto"/>
                      <w:sz w:val="21"/>
                      <w:szCs w:val="21"/>
                    </w:rPr>
                  </w:pPr>
                  <w:r>
                    <w:rPr>
                      <w:rFonts w:hint="eastAsia" w:ascii="宋体" w:hAnsi="宋体" w:cs="宋体"/>
                      <w:color w:val="auto"/>
                      <w:sz w:val="21"/>
                      <w:szCs w:val="21"/>
                    </w:rPr>
                    <w:t>持证陪护人员1 人加 1 分，本项最多得 6分。提供</w:t>
                  </w:r>
                  <w:r>
                    <w:rPr>
                      <w:rFonts w:hint="eastAsia" w:ascii="宋体" w:hAnsi="宋体" w:cs="宋体"/>
                      <w:color w:val="auto"/>
                      <w:sz w:val="21"/>
                      <w:szCs w:val="21"/>
                      <w:lang w:eastAsia="zh-CN"/>
                    </w:rPr>
                    <w:t>医疗护理员</w:t>
                  </w:r>
                  <w:r>
                    <w:rPr>
                      <w:rFonts w:hint="eastAsia" w:ascii="宋体" w:hAnsi="宋体" w:cs="宋体"/>
                      <w:color w:val="auto"/>
                      <w:sz w:val="21"/>
                      <w:szCs w:val="21"/>
                      <w:lang w:val="en-US" w:eastAsia="zh-CN"/>
                    </w:rPr>
                    <w:t>-患者方向</w:t>
                  </w:r>
                  <w:r>
                    <w:rPr>
                      <w:rFonts w:hint="eastAsia" w:ascii="宋体" w:hAnsi="宋体" w:cs="宋体"/>
                      <w:color w:val="auto"/>
                      <w:sz w:val="21"/>
                      <w:szCs w:val="21"/>
                    </w:rPr>
                    <w:t>《</w:t>
                  </w:r>
                  <w:r>
                    <w:rPr>
                      <w:rFonts w:hint="eastAsia" w:ascii="宋体" w:hAnsi="宋体" w:cs="宋体"/>
                      <w:color w:val="auto"/>
                      <w:sz w:val="21"/>
                      <w:szCs w:val="21"/>
                      <w:lang w:eastAsia="zh-CN"/>
                    </w:rPr>
                    <w:t>技能培训合格证</w:t>
                  </w:r>
                  <w:r>
                    <w:rPr>
                      <w:rFonts w:hint="eastAsia" w:ascii="宋体" w:hAnsi="宋体" w:cs="宋体"/>
                      <w:color w:val="auto"/>
                      <w:sz w:val="21"/>
                      <w:szCs w:val="21"/>
                    </w:rPr>
                    <w:t>》或《普通医疗护理员》或《病患护理员》等护理员培训证书或资格证书复印件并加盖投标人公章予以佐证。不提供或提供资料不全，不得0分</w:t>
                  </w:r>
                  <w:r>
                    <w:rPr>
                      <w:rFonts w:ascii="FZFSK--GBK1-0" w:hAnsi="FZFSK--GBK1-0" w:eastAsia="FZFSK--GBK1-0" w:cs="FZFSK--GBK1-0"/>
                      <w:color w:val="auto"/>
                      <w:sz w:val="20"/>
                    </w:rPr>
                    <w:t>。</w:t>
                  </w:r>
                </w:p>
              </w:tc>
              <w:tc>
                <w:tcPr>
                  <w:tcW w:w="2254" w:type="dxa"/>
                  <w:noWrap w:val="0"/>
                  <w:vAlign w:val="center"/>
                </w:tcPr>
                <w:p w14:paraId="5160C3EF">
                  <w:pPr>
                    <w:snapToGrid w:val="0"/>
                    <w:rPr>
                      <w:rFonts w:ascii="宋体" w:hAnsi="宋体"/>
                      <w:bCs/>
                      <w:color w:val="auto"/>
                      <w:sz w:val="21"/>
                      <w:szCs w:val="21"/>
                    </w:rPr>
                  </w:pPr>
                  <w:r>
                    <w:rPr>
                      <w:rFonts w:ascii="FZFSK--GBK1-0" w:hAnsi="FZFSK--GBK1-0" w:eastAsia="FZFSK--GBK1-0" w:cs="FZFSK--GBK1-0"/>
                      <w:color w:val="auto"/>
                      <w:sz w:val="20"/>
                    </w:rPr>
                    <w:t>提供相关证明材料复印件并加盖供应商公章。</w:t>
                  </w:r>
                </w:p>
              </w:tc>
            </w:tr>
          </w:tbl>
          <w:p w14:paraId="02CC0132">
            <w:pPr>
              <w:pageBreakBefore w:val="0"/>
              <w:kinsoku/>
              <w:overflowPunct/>
              <w:topLinePunct w:val="0"/>
              <w:autoSpaceDE/>
              <w:autoSpaceDN/>
              <w:bidi w:val="0"/>
              <w:spacing w:line="400" w:lineRule="exact"/>
              <w:ind w:firstLine="720" w:firstLineChars="3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rPr>
              <w:t>注：报价部分整体或某些分项报价明显不合理或者低于成本，有可能影响服务质量和不能诚信履约的，供应商在提交响应文件时须同时提供盖章书面文件予以解释说明，并提交相关证明材料；否则，可取消该成交候选人资格。</w:t>
            </w:r>
          </w:p>
          <w:bookmarkEnd w:id="23"/>
          <w:bookmarkEnd w:id="24"/>
          <w:p w14:paraId="552F91A8">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五、成交原则</w:t>
            </w:r>
          </w:p>
          <w:p w14:paraId="5A5A27EC">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（一）资格符合性检查</w:t>
            </w:r>
          </w:p>
          <w:p w14:paraId="517AADA8">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依据法律法规和遴选文件的规定，对供应商的资格证明等进行审查，以确定供应商是否具备参与资格。</w:t>
            </w:r>
          </w:p>
          <w:p w14:paraId="03E3499D">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1.对响应文件的有效性、完整性和响应程度检查</w:t>
            </w:r>
          </w:p>
          <w:p w14:paraId="06E8E93A">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依据遴选文件的规定，对供应商的响应文件从质量、服务等方面进行审查，以确定供应商是否实质性响应遴选文件的要求。</w:t>
            </w:r>
          </w:p>
          <w:p w14:paraId="2A122847">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2.出现下列情形之一的，采购人终止遴选采购活动，发布项目终止公告，重新开展采购活动：</w:t>
            </w:r>
          </w:p>
          <w:p w14:paraId="1FE42038">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 因情况变化，不再符合规定的遴选采购方式适用情形的；</w:t>
            </w:r>
          </w:p>
          <w:p w14:paraId="50A14CDD">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 出现影响采购公正的违法、违规行为的。</w:t>
            </w:r>
          </w:p>
          <w:p w14:paraId="71331996">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采用综合评分法进行评分。综合评分法，是指响应文件满足遴选文件全部实质性要求且按照评审因素的量化指标评审得分最高的为成交候选供应商的评审方法。供应商总得分为价格、商务、技术等评定因素分别按照相应权重值计算分项得分后相加，满分为100分。</w:t>
            </w:r>
          </w:p>
          <w:p w14:paraId="21A8D8D5">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按评审后</w:t>
            </w:r>
            <w:r>
              <w:rPr>
                <w:rFonts w:hint="eastAsia" w:ascii="宋体" w:hAnsi="宋体" w:eastAsia="宋体" w:cs="宋体"/>
                <w:color w:val="auto"/>
                <w:sz w:val="24"/>
                <w:szCs w:val="24"/>
                <w:highlight w:val="none"/>
                <w:lang w:eastAsia="zh-CN"/>
              </w:rPr>
              <w:t>按综合</w:t>
            </w:r>
            <w:r>
              <w:rPr>
                <w:rFonts w:hint="eastAsia" w:ascii="宋体" w:hAnsi="宋体" w:eastAsia="宋体" w:cs="宋体"/>
                <w:color w:val="auto"/>
                <w:sz w:val="24"/>
                <w:szCs w:val="24"/>
                <w:highlight w:val="none"/>
              </w:rPr>
              <w:t>得分由高到低的排列顺序推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遴选得分最高的服务公司</w:t>
            </w:r>
            <w:r>
              <w:rPr>
                <w:rFonts w:hint="eastAsia" w:ascii="宋体" w:hAnsi="宋体" w:cs="宋体"/>
                <w:color w:val="auto"/>
                <w:sz w:val="24"/>
                <w:szCs w:val="24"/>
                <w:highlight w:val="none"/>
                <w:lang w:val="en-US" w:eastAsia="zh-CN"/>
              </w:rPr>
              <w:t>负责重庆市九龙坡区陪护工作</w:t>
            </w:r>
            <w:r>
              <w:rPr>
                <w:rFonts w:hint="eastAsia" w:ascii="宋体" w:hAnsi="宋体" w:eastAsia="宋体" w:cs="宋体"/>
                <w:color w:val="auto"/>
                <w:sz w:val="24"/>
                <w:szCs w:val="24"/>
                <w:highlight w:val="none"/>
              </w:rPr>
              <w:t>，服务期限内根据服务质量医院有权调整服务区域或终止服务合同。若综合得分相同的，</w:t>
            </w:r>
            <w:r>
              <w:rPr>
                <w:rFonts w:hint="eastAsia" w:ascii="宋体" w:hAnsi="宋体" w:cs="宋体"/>
                <w:color w:val="auto"/>
                <w:sz w:val="24"/>
                <w:szCs w:val="24"/>
                <w:highlight w:val="none"/>
              </w:rPr>
              <w:t>按技术指标优劣顺序排列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若综合得分、技术</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均相同的，按商务部分的优劣顺序排列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技术部分得分为0分的供应商，将失去成为成交候选供应商的资格。</w:t>
            </w:r>
          </w:p>
          <w:p w14:paraId="1E6EB592">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bookmarkStart w:id="25" w:name="_Toc342913395"/>
            <w:bookmarkEnd w:id="25"/>
            <w:bookmarkStart w:id="26" w:name="_Toc102227321"/>
            <w:bookmarkEnd w:id="26"/>
            <w:bookmarkStart w:id="27" w:name="_Toc403569783"/>
            <w:bookmarkEnd w:id="27"/>
            <w:r>
              <w:rPr>
                <w:rFonts w:hint="eastAsia" w:ascii="宋体" w:hAnsi="宋体" w:cs="宋体"/>
                <w:b/>
                <w:color w:val="auto"/>
                <w:sz w:val="24"/>
                <w:szCs w:val="24"/>
                <w:highlight w:val="none"/>
              </w:rPr>
              <w:t>六、成交结果</w:t>
            </w:r>
          </w:p>
          <w:p w14:paraId="5ABB9AA2">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成交供应商确定后2个工作日内，将在</w:t>
            </w:r>
            <w:r>
              <w:rPr>
                <w:rFonts w:hint="eastAsia" w:ascii="宋体" w:hAnsi="宋体" w:cs="宋体"/>
                <w:color w:val="auto"/>
                <w:sz w:val="24"/>
                <w:szCs w:val="24"/>
                <w:highlight w:val="none"/>
                <w:lang w:val="en-US" w:eastAsia="zh-CN"/>
              </w:rPr>
              <w:t>医院官网</w:t>
            </w:r>
            <w:r>
              <w:rPr>
                <w:rFonts w:hint="eastAsia" w:ascii="宋体" w:hAnsi="宋体" w:cs="宋体"/>
                <w:color w:val="auto"/>
                <w:sz w:val="24"/>
                <w:szCs w:val="24"/>
                <w:highlight w:val="none"/>
              </w:rPr>
              <w:t>上发布成交结果。</w:t>
            </w:r>
          </w:p>
          <w:p w14:paraId="05789999">
            <w:pPr>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七、成交结果的变更</w:t>
            </w:r>
          </w:p>
          <w:p w14:paraId="6FCAB52E">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成交供应商拒绝签订采购合同</w:t>
            </w:r>
            <w:r>
              <w:rPr>
                <w:rFonts w:hint="eastAsia" w:ascii="宋体" w:hAnsi="宋体" w:cs="宋体"/>
                <w:color w:val="auto"/>
                <w:sz w:val="24"/>
                <w:szCs w:val="24"/>
                <w:highlight w:val="none"/>
                <w:lang w:val="en-US" w:eastAsia="zh-CN"/>
              </w:rPr>
              <w:t>或放弃成交的</w:t>
            </w:r>
            <w:r>
              <w:rPr>
                <w:rFonts w:hint="eastAsia" w:ascii="宋体" w:hAnsi="宋体" w:eastAsia="宋体" w:cs="宋体"/>
                <w:color w:val="auto"/>
                <w:sz w:val="24"/>
                <w:szCs w:val="24"/>
                <w:highlight w:val="none"/>
              </w:rPr>
              <w:t>，采购人可以按照评审报告推荐的成交候选人顺序，确定排名下一位的候选人为成交供应商，也可以重新开展采购活动。拒</w:t>
            </w:r>
            <w:r>
              <w:rPr>
                <w:rFonts w:hint="eastAsia" w:ascii="宋体" w:hAnsi="宋体" w:cs="宋体"/>
                <w:color w:val="auto"/>
                <w:sz w:val="24"/>
                <w:szCs w:val="24"/>
                <w:highlight w:val="none"/>
                <w:lang w:val="en-US" w:eastAsia="zh-CN"/>
              </w:rPr>
              <w:t>绝签订采购合同的成交供应商不得参加对该项目重新开展的采购活动。</w:t>
            </w:r>
          </w:p>
          <w:p w14:paraId="1C4BFC7B">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在成交结果公示后10日内与医院采购科室取得联系，沟通合同签订事宜，并在20日内与医院签订合同。超过30日未与医院签订合同的，视为自动放弃成交资格。医院根据管理规定，对成交后未及时签订合同，不履约的成交人按照院内采购管理办法将成交单位、法人列入黑名单，五年内不得参与医院任何项目建设，情节严重的医院将根据实际情况上报上级部门。</w:t>
            </w:r>
          </w:p>
          <w:p w14:paraId="26F7467F">
            <w:pPr>
              <w:pageBreakBefore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、质疑和答复</w:t>
            </w:r>
          </w:p>
          <w:p w14:paraId="7111963A">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14CA1355">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供应商认为采购文件、采购过程和成交结果使自己的权益收到伤害的，可向采购人以书面形式提出质疑。提出质疑的应当是参与所质疑项目采购活动的供应商。 </w:t>
            </w:r>
          </w:p>
          <w:p w14:paraId="79C5376D">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5BC71410">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7F0C9888">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一式三份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应当包括下列内容：</w:t>
            </w:r>
          </w:p>
          <w:p w14:paraId="0978D02C">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635AB7DF">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1.2.2质疑项目的项目名称、项目号以及采购执行编号；</w:t>
            </w:r>
          </w:p>
          <w:p w14:paraId="05FABB73">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7984FE2">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45130BA5">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79F22C60">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18532B9A">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12F0E309">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059F4A2">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供应商为自然人的，质疑函应当由本人签字；供应商为法人或者其他组织的，质疑函应当由法定代表人、主要负责人，或者其授权代表签字或者盖章，并加盖公章。</w:t>
            </w:r>
          </w:p>
          <w:p w14:paraId="7483D397">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2.质疑文件受理</w:t>
            </w:r>
          </w:p>
          <w:p w14:paraId="2AFC8075">
            <w:pPr>
              <w:pageBreakBefore w:val="0"/>
              <w:kinsoku/>
              <w:wordWrap/>
              <w:overflowPunct/>
              <w:topLinePunct w:val="0"/>
              <w:autoSpaceDE/>
              <w:autoSpaceDN/>
              <w:bidi w:val="0"/>
              <w:snapToGrid w:val="0"/>
              <w:spacing w:line="400" w:lineRule="exact"/>
              <w:ind w:firstLine="580" w:firstLineChars="24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受理人：</w:t>
            </w:r>
            <w:r>
              <w:rPr>
                <w:rFonts w:hint="eastAsia" w:ascii="宋体" w:hAnsi="宋体" w:cs="宋体"/>
                <w:color w:val="auto"/>
                <w:sz w:val="24"/>
                <w:szCs w:val="24"/>
                <w:highlight w:val="none"/>
                <w:lang w:val="en-US" w:eastAsia="zh-CN"/>
              </w:rPr>
              <w:t>护理部</w:t>
            </w:r>
            <w:r>
              <w:rPr>
                <w:rFonts w:hint="eastAsia" w:ascii="宋体" w:hAnsi="宋体" w:eastAsia="宋体" w:cs="宋体"/>
                <w:color w:val="auto"/>
                <w:sz w:val="24"/>
                <w:szCs w:val="24"/>
                <w:highlight w:val="none"/>
                <w:lang w:val="en-US" w:eastAsia="zh-CN"/>
              </w:rPr>
              <w:t>办公室</w:t>
            </w:r>
          </w:p>
          <w:p w14:paraId="03773AFD">
            <w:pPr>
              <w:pageBreakBefore w:val="0"/>
              <w:kinsoku/>
              <w:wordWrap/>
              <w:overflowPunct/>
              <w:topLinePunct w:val="0"/>
              <w:autoSpaceDE/>
              <w:autoSpaceDN/>
              <w:bidi w:val="0"/>
              <w:snapToGrid w:val="0"/>
              <w:spacing w:line="400" w:lineRule="exact"/>
              <w:ind w:firstLine="580" w:firstLineChars="24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89068484</w:t>
            </w:r>
          </w:p>
          <w:p w14:paraId="03363B3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（二）质疑答复</w:t>
            </w:r>
          </w:p>
          <w:p w14:paraId="2518097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bookmarkStart w:id="28" w:name="_Toc403569785"/>
            <w:bookmarkStart w:id="29" w:name="_Toc342913396"/>
            <w:r>
              <w:rPr>
                <w:rFonts w:hint="eastAsia" w:ascii="宋体" w:hAnsi="宋体" w:cs="宋体"/>
                <w:color w:val="auto"/>
                <w:sz w:val="24"/>
                <w:szCs w:val="24"/>
                <w:highlight w:val="none"/>
              </w:rPr>
              <w:t>采购人将按照相关规定对质疑内容作出答复和处理。</w:t>
            </w:r>
          </w:p>
          <w:bookmarkEnd w:id="28"/>
          <w:bookmarkEnd w:id="29"/>
          <w:p w14:paraId="36102A86">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、签订合同</w:t>
            </w:r>
          </w:p>
          <w:p w14:paraId="704D35C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采购结果公告结束</w:t>
            </w:r>
            <w:r>
              <w:rPr>
                <w:rFonts w:hint="eastAsia" w:ascii="宋体" w:hAnsi="宋体" w:cs="宋体"/>
                <w:color w:val="auto"/>
                <w:sz w:val="24"/>
                <w:szCs w:val="24"/>
                <w:highlight w:val="none"/>
              </w:rPr>
              <w:t>之日起20日内，按照采购文件要求以及</w:t>
            </w:r>
            <w:r>
              <w:rPr>
                <w:rFonts w:hint="eastAsia" w:ascii="宋体" w:hAnsi="宋体" w:cs="宋体"/>
                <w:color w:val="auto"/>
                <w:sz w:val="24"/>
                <w:szCs w:val="24"/>
                <w:highlight w:val="none"/>
                <w:lang w:eastAsia="zh-CN"/>
              </w:rPr>
              <w:t>中标人响应文件</w:t>
            </w:r>
            <w:r>
              <w:rPr>
                <w:rFonts w:hint="eastAsia" w:ascii="宋体" w:hAnsi="宋体" w:cs="宋体"/>
                <w:color w:val="auto"/>
                <w:sz w:val="24"/>
                <w:szCs w:val="24"/>
                <w:highlight w:val="none"/>
              </w:rPr>
              <w:t>等事项签订采购合同。</w:t>
            </w:r>
          </w:p>
          <w:p w14:paraId="0A54EA7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（二）遴选文件、成交供应商的响应文件及有效承诺文件等，均为签订合同的依据。</w:t>
            </w:r>
          </w:p>
          <w:p w14:paraId="2F702AF5">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（三）如成交供应商放弃成交项目或在签订合同时擅自改变成交状态的，采购人将按照相关法律法规处理。</w:t>
            </w:r>
          </w:p>
          <w:p w14:paraId="023ED3F2">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（四）成交供应商不得向采购人提出超出遴选以外的任何要求作为签订合同的条件，不得订立背离遴选确定的合同文本以及采购标采购数量、技术和服务要求等实质性内容的协议。</w:t>
            </w:r>
          </w:p>
          <w:p w14:paraId="1F49DDFD">
            <w:pPr>
              <w:pageBreakBefore w:val="0"/>
              <w:kinsoku/>
              <w:overflowPunct/>
              <w:topLinePunct w:val="0"/>
              <w:autoSpaceDE/>
              <w:autoSpaceDN/>
              <w:bidi w:val="0"/>
              <w:snapToGrid w:val="0"/>
              <w:spacing w:line="400" w:lineRule="exact"/>
              <w:ind w:firstLine="480" w:firstLineChars="200"/>
              <w:textAlignment w:val="auto"/>
              <w:rPr>
                <w:rFonts w:hint="eastAsia"/>
                <w:color w:val="auto"/>
                <w:highlight w:val="none"/>
                <w:lang w:val="en-US" w:eastAsia="zh-CN"/>
              </w:rPr>
            </w:pPr>
            <w:r>
              <w:rPr>
                <w:rFonts w:hint="eastAsia" w:ascii="宋体" w:hAnsi="宋体" w:cs="宋体"/>
                <w:color w:val="auto"/>
                <w:sz w:val="24"/>
                <w:szCs w:val="24"/>
                <w:highlight w:val="none"/>
              </w:rPr>
              <w:t>（五）除不可抗力等因素外，成交供应商拒绝签订采购合同的，应当承担相应的法律责任。</w:t>
            </w:r>
          </w:p>
          <w:p w14:paraId="750D2E58">
            <w:pPr>
              <w:pStyle w:val="2"/>
              <w:rPr>
                <w:rFonts w:hint="eastAsia"/>
                <w:lang w:val="en-US" w:eastAsia="zh-CN"/>
              </w:rPr>
            </w:pPr>
          </w:p>
          <w:p w14:paraId="71AEB42C">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4687837F">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437561BE">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1CFCCD1E">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6B97B578">
            <w:pPr>
              <w:jc w:val="center"/>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en-US" w:eastAsia="zh-CN" w:bidi="ar-SA"/>
              </w:rPr>
              <w:t>第三篇</w:t>
            </w:r>
            <w:r>
              <w:rPr>
                <w:rFonts w:hint="eastAsia" w:ascii="方正小标宋_GBK" w:hAnsi="方正小标宋_GBK" w:eastAsia="方正小标宋_GBK" w:cs="方正小标宋_GBK"/>
                <w:b/>
                <w:bCs/>
                <w:color w:val="auto"/>
                <w:kern w:val="2"/>
                <w:sz w:val="36"/>
                <w:szCs w:val="36"/>
                <w:highlight w:val="none"/>
                <w:lang w:val="zh-CN" w:eastAsia="zh-CN" w:bidi="ar-SA"/>
              </w:rPr>
              <w:t xml:space="preserve"> 项目</w:t>
            </w:r>
            <w:bookmarkStart w:id="30" w:name="_Toc478460237"/>
            <w:bookmarkEnd w:id="30"/>
            <w:bookmarkStart w:id="31" w:name="_Toc399689520"/>
            <w:bookmarkEnd w:id="31"/>
            <w:bookmarkStart w:id="32" w:name="_Toc478460679"/>
            <w:bookmarkEnd w:id="32"/>
            <w:bookmarkStart w:id="33" w:name="_Toc11641055"/>
            <w:bookmarkEnd w:id="33"/>
            <w:bookmarkStart w:id="34" w:name="_Toc25725124"/>
            <w:bookmarkEnd w:id="34"/>
            <w:r>
              <w:rPr>
                <w:rFonts w:hint="eastAsia" w:ascii="方正小标宋_GBK" w:hAnsi="方正小标宋_GBK" w:eastAsia="方正小标宋_GBK" w:cs="方正小标宋_GBK"/>
                <w:b/>
                <w:bCs/>
                <w:color w:val="auto"/>
                <w:kern w:val="2"/>
                <w:sz w:val="36"/>
                <w:szCs w:val="36"/>
                <w:highlight w:val="none"/>
                <w:lang w:val="en-US" w:eastAsia="zh-CN" w:bidi="ar-SA"/>
              </w:rPr>
              <w:t>要求</w:t>
            </w:r>
          </w:p>
          <w:p w14:paraId="0624EDCF">
            <w:pPr>
              <w:pageBreakBefore w:val="0"/>
              <w:numPr>
                <w:ilvl w:val="0"/>
                <w:numId w:val="0"/>
              </w:numPr>
              <w:kinsoku/>
              <w:overflowPunct/>
              <w:topLinePunct w:val="0"/>
              <w:autoSpaceDE/>
              <w:autoSpaceDN/>
              <w:bidi w:val="0"/>
              <w:snapToGrid w:val="0"/>
              <w:spacing w:line="400" w:lineRule="exact"/>
              <w:ind w:firstLine="482" w:firstLineChars="200"/>
              <w:jc w:val="left"/>
              <w:textAlignment w:val="auto"/>
              <w:rPr>
                <w:rFonts w:hint="eastAsia" w:ascii="宋体" w:hAnsi="宋体" w:cs="宋体"/>
                <w:b/>
                <w:bCs/>
                <w:color w:val="auto"/>
                <w:sz w:val="24"/>
                <w:szCs w:val="24"/>
                <w:highlight w:val="none"/>
                <w:lang w:val="en-US" w:eastAsia="zh-CN"/>
              </w:rPr>
            </w:pPr>
            <w:bookmarkStart w:id="35" w:name="OLE_LINK1"/>
          </w:p>
          <w:p w14:paraId="2A544CE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36" w:name="_Toc3800"/>
            <w:bookmarkStart w:id="37" w:name="_Toc313536013"/>
            <w:bookmarkStart w:id="38" w:name="_Toc489363943"/>
            <w:bookmarkStart w:id="39" w:name="_Toc344475116"/>
            <w:bookmarkStart w:id="40" w:name="_Toc18140"/>
            <w:bookmarkStart w:id="41" w:name="_Toc23753"/>
            <w:bookmarkStart w:id="42" w:name="_Toc18980"/>
            <w:bookmarkStart w:id="43" w:name="_Toc4238"/>
            <w:r>
              <w:rPr>
                <w:rFonts w:hint="eastAsia" w:ascii="宋体" w:hAnsi="宋体" w:eastAsia="宋体" w:cs="宋体"/>
                <w:color w:val="auto"/>
                <w:sz w:val="24"/>
                <w:szCs w:val="24"/>
                <w:highlight w:val="none"/>
              </w:rPr>
              <w:t>“※”标注的需求为符合性审查中的实质性要求，响应文件若不满足按无效响应处理。</w:t>
            </w:r>
            <w:bookmarkEnd w:id="36"/>
            <w:bookmarkEnd w:id="37"/>
            <w:bookmarkEnd w:id="38"/>
            <w:bookmarkEnd w:id="39"/>
            <w:bookmarkEnd w:id="40"/>
            <w:bookmarkEnd w:id="41"/>
          </w:p>
          <w:p w14:paraId="514747D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一、项目概要</w:t>
            </w:r>
            <w:bookmarkEnd w:id="42"/>
            <w:bookmarkEnd w:id="43"/>
          </w:p>
          <w:p w14:paraId="20216FA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规范化管理院内患者陪护和母婴护理服务，满足院区就诊患者不同层次的生活陪护需求，特遴选</w:t>
            </w:r>
            <w:r>
              <w:rPr>
                <w:rFonts w:hint="eastAsia" w:ascii="宋体" w:hAnsi="宋体" w:cs="宋体"/>
                <w:color w:val="auto"/>
                <w:sz w:val="24"/>
                <w:szCs w:val="24"/>
                <w:highlight w:val="none"/>
                <w:lang w:val="en-US" w:eastAsia="zh-CN"/>
              </w:rPr>
              <w:t>1名</w:t>
            </w:r>
            <w:r>
              <w:rPr>
                <w:rFonts w:hint="eastAsia" w:ascii="宋体" w:hAnsi="宋体" w:eastAsia="宋体" w:cs="宋体"/>
                <w:color w:val="auto"/>
                <w:sz w:val="24"/>
                <w:szCs w:val="24"/>
                <w:highlight w:val="none"/>
              </w:rPr>
              <w:t>具备病患陪护专业资质且达到医院专项要求的陪护机构（公司）为患者提供规范的、有偿的生活陪护服务</w:t>
            </w:r>
            <w:r>
              <w:rPr>
                <w:rFonts w:hint="eastAsia" w:ascii="宋体" w:hAnsi="宋体" w:cs="宋体"/>
                <w:color w:val="auto"/>
                <w:sz w:val="24"/>
                <w:szCs w:val="24"/>
                <w:highlight w:val="none"/>
                <w:lang w:eastAsia="zh-CN"/>
              </w:rPr>
              <w:t>的陪护公司</w:t>
            </w:r>
            <w:r>
              <w:rPr>
                <w:rFonts w:hint="eastAsia" w:ascii="宋体" w:hAnsi="宋体" w:eastAsia="宋体" w:cs="宋体"/>
                <w:color w:val="auto"/>
                <w:sz w:val="24"/>
                <w:szCs w:val="24"/>
                <w:highlight w:val="none"/>
              </w:rPr>
              <w:t>。</w:t>
            </w:r>
          </w:p>
          <w:p w14:paraId="21BB73D6">
            <w:pPr>
              <w:pageBreakBefore w:val="0"/>
              <w:kinsoku/>
              <w:overflowPunct/>
              <w:topLinePunct w:val="0"/>
              <w:autoSpaceDE/>
              <w:autoSpaceDN/>
              <w:bidi w:val="0"/>
              <w:spacing w:line="400" w:lineRule="exact"/>
              <w:ind w:firstLine="480" w:firstLineChars="200"/>
              <w:textAlignment w:val="auto"/>
              <w:rPr>
                <w:rFonts w:hint="eastAsia"/>
                <w:color w:val="auto"/>
              </w:rPr>
            </w:pPr>
            <w:r>
              <w:rPr>
                <w:rFonts w:hint="eastAsia" w:ascii="宋体" w:hAnsi="宋体" w:eastAsia="宋体" w:cs="宋体"/>
                <w:color w:val="auto"/>
                <w:sz w:val="24"/>
                <w:szCs w:val="24"/>
                <w:highlight w:val="none"/>
              </w:rPr>
              <w:t xml:space="preserve"> ※二、服务详细内容及要求</w:t>
            </w:r>
          </w:p>
          <w:p w14:paraId="0694C66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对陪护的要求</w:t>
            </w:r>
          </w:p>
          <w:p w14:paraId="20882C1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陪护公司严格遵守国家法律法规和医院各项规章制度，服从病区管理工作，在护士的指导下工作。</w:t>
            </w:r>
          </w:p>
          <w:p w14:paraId="56A76B4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1.陪护年龄的要求</w:t>
            </w:r>
          </w:p>
          <w:p w14:paraId="0D6D79B7">
            <w:pPr>
              <w:pageBreakBefore w:val="0"/>
              <w:kinsoku/>
              <w:overflowPunct/>
              <w:topLinePunct w:val="0"/>
              <w:autoSpaceDE/>
              <w:autoSpaceDN/>
              <w:bidi w:val="0"/>
              <w:spacing w:line="400" w:lineRule="exact"/>
              <w:ind w:firstLine="480" w:firstLineChars="200"/>
              <w:textAlignment w:val="auto"/>
              <w:rPr>
                <w:rFonts w:hint="eastAsia"/>
                <w:color w:val="auto"/>
              </w:rPr>
            </w:pPr>
            <w:r>
              <w:rPr>
                <w:rFonts w:hint="eastAsia" w:ascii="宋体" w:hAnsi="宋体" w:eastAsia="宋体" w:cs="宋体"/>
                <w:color w:val="auto"/>
                <w:sz w:val="24"/>
                <w:szCs w:val="24"/>
                <w:highlight w:val="none"/>
              </w:rPr>
              <w:t>年龄要求为18岁至</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岁。健康证、医疗护理员技能培训合格证、身份证三证齐全，感染四项检测合格报告。</w:t>
            </w:r>
          </w:p>
          <w:p w14:paraId="14733117">
            <w:pPr>
              <w:pageBreakBefore w:val="0"/>
              <w:numPr>
                <w:ilvl w:val="0"/>
                <w:numId w:val="3"/>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对陪护资质的要求</w:t>
            </w:r>
          </w:p>
          <w:p w14:paraId="3A0EB435">
            <w:pPr>
              <w:pageBreakBefore w:val="0"/>
              <w:numPr>
                <w:ilvl w:val="0"/>
                <w:numId w:val="0"/>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（1）投标公司陪护人员具有国家职业技能鉴定所发放《医疗护理员技能培训合格证》。证书实行统一编码、统一信息、统一管理，以接受社会查询与监督。</w:t>
            </w:r>
          </w:p>
          <w:p w14:paraId="697DE2B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（2）投标人每年对陪护人员进行完善的岗前培训；对于承担母婴照护的陪护，须有相关培训证书。</w:t>
            </w:r>
          </w:p>
          <w:p w14:paraId="03E702E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（3）进入医院后，</w:t>
            </w:r>
            <w:r>
              <w:rPr>
                <w:rFonts w:hint="eastAsia" w:ascii="宋体" w:hAnsi="宋体" w:eastAsia="宋体" w:cs="宋体"/>
                <w:color w:val="auto"/>
                <w:sz w:val="24"/>
                <w:szCs w:val="24"/>
                <w:highlight w:val="none"/>
                <w:lang w:eastAsia="zh-CN"/>
              </w:rPr>
              <w:t>成交</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需要定期对陪护人员开设必须的岗位工作相关培训课程，并对陪护人员进行考核</w:t>
            </w:r>
            <w:r>
              <w:rPr>
                <w:rFonts w:hint="eastAsia" w:ascii="宋体" w:hAnsi="宋体" w:eastAsia="宋体" w:cs="宋体"/>
                <w:color w:val="auto"/>
                <w:sz w:val="24"/>
                <w:szCs w:val="24"/>
                <w:highlight w:val="none"/>
                <w:lang w:eastAsia="zh-CN"/>
              </w:rPr>
              <w:t>。</w:t>
            </w:r>
          </w:p>
          <w:p w14:paraId="47DDD02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（4）无不良记录及犯罪史。</w:t>
            </w:r>
          </w:p>
          <w:p w14:paraId="4B889F6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3.陪护管理人员要求</w:t>
            </w:r>
          </w:p>
          <w:p w14:paraId="2D34261E">
            <w:pPr>
              <w:pStyle w:val="2"/>
              <w:ind w:firstLine="480" w:firstLineChars="200"/>
              <w:rPr>
                <w:rFonts w:hint="default" w:eastAsia="宋体"/>
                <w:lang w:val="en-US"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kern w:val="0"/>
                <w:sz w:val="24"/>
                <w:szCs w:val="24"/>
                <w:highlight w:val="none"/>
                <w:lang w:val="en-US" w:eastAsia="zh-CN" w:bidi="ar-SA"/>
              </w:rPr>
              <w:t>配备相应数量的具有相关管理经验的专职管理人员不少于</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名。</w:t>
            </w:r>
          </w:p>
          <w:p w14:paraId="7827400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）具备一定的陪护管理经验；有陪护工作背景者最佳。能积极沟通，听取客户对陪护管理工作的意见</w:t>
            </w:r>
            <w:r>
              <w:rPr>
                <w:rFonts w:hint="eastAsia" w:ascii="宋体" w:hAnsi="宋体" w:eastAsia="宋体" w:cs="宋体"/>
                <w:color w:val="auto"/>
                <w:sz w:val="24"/>
                <w:szCs w:val="24"/>
                <w:highlight w:val="none"/>
                <w:lang w:eastAsia="zh-CN"/>
              </w:rPr>
              <w:t>。</w:t>
            </w:r>
          </w:p>
          <w:p w14:paraId="3202318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）负责对陪护的管理、指导、培训工作。保证24小时有管理人员，如遇突发状况能在10分钟之内到达，及时对突发事件进行协调解决。</w:t>
            </w:r>
          </w:p>
          <w:p w14:paraId="34639B7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）保证入住科室陪护均有组长管理，以便联系及时处理问题。</w:t>
            </w:r>
          </w:p>
          <w:p w14:paraId="6F79765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4.陪护服务要求</w:t>
            </w:r>
          </w:p>
          <w:p w14:paraId="225B970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（1）能够体现对陪护工作的专业性</w:t>
            </w:r>
            <w:r>
              <w:rPr>
                <w:rFonts w:hint="eastAsia" w:ascii="宋体" w:hAnsi="宋体" w:eastAsia="宋体" w:cs="宋体"/>
                <w:color w:val="auto"/>
                <w:sz w:val="24"/>
                <w:szCs w:val="24"/>
                <w:highlight w:val="none"/>
                <w:lang w:eastAsia="zh-CN"/>
              </w:rPr>
              <w:t>。</w:t>
            </w:r>
          </w:p>
          <w:p w14:paraId="4166DE3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（2）对陪护管理有丰富经验</w:t>
            </w:r>
            <w:r>
              <w:rPr>
                <w:rFonts w:hint="eastAsia" w:ascii="宋体" w:hAnsi="宋体" w:eastAsia="宋体" w:cs="宋体"/>
                <w:color w:val="auto"/>
                <w:sz w:val="24"/>
                <w:szCs w:val="24"/>
                <w:highlight w:val="none"/>
                <w:lang w:eastAsia="zh-CN"/>
              </w:rPr>
              <w:t>。</w:t>
            </w:r>
          </w:p>
          <w:p w14:paraId="21CC5CF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（3）对不同服务对象能够提供不同层次的服务</w:t>
            </w:r>
            <w:r>
              <w:rPr>
                <w:rFonts w:hint="eastAsia" w:ascii="宋体" w:hAnsi="宋体" w:eastAsia="宋体" w:cs="宋体"/>
                <w:color w:val="auto"/>
                <w:sz w:val="24"/>
                <w:szCs w:val="24"/>
                <w:highlight w:val="none"/>
                <w:lang w:eastAsia="zh-CN"/>
              </w:rPr>
              <w:t>。</w:t>
            </w:r>
          </w:p>
          <w:p w14:paraId="3602B05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（4）定期测评服务对象满意度，并不断改进管理方法及服务质量</w:t>
            </w:r>
            <w:r>
              <w:rPr>
                <w:rFonts w:hint="eastAsia" w:ascii="宋体" w:hAnsi="宋体" w:eastAsia="宋体" w:cs="宋体"/>
                <w:color w:val="auto"/>
                <w:sz w:val="24"/>
                <w:szCs w:val="24"/>
                <w:highlight w:val="none"/>
                <w:lang w:eastAsia="zh-CN"/>
              </w:rPr>
              <w:t>。</w:t>
            </w:r>
          </w:p>
          <w:p w14:paraId="1DD7DF22">
            <w:pPr>
              <w:pStyle w:val="2"/>
              <w:ind w:firstLine="480" w:firstLineChars="200"/>
              <w:rPr>
                <w:rFonts w:hint="eastAsia"/>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）陪护公司与患者及家属自愿达成协议同意书须在采购人处备案。</w:t>
            </w:r>
          </w:p>
          <w:p w14:paraId="3D1A52E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）陪护要服从科室管理，不允许私自代管其他病人，乱收费，乱窜病房</w:t>
            </w:r>
            <w:r>
              <w:rPr>
                <w:rFonts w:hint="eastAsia" w:ascii="宋体" w:hAnsi="宋体" w:eastAsia="宋体" w:cs="宋体"/>
                <w:color w:val="auto"/>
                <w:sz w:val="24"/>
                <w:szCs w:val="24"/>
                <w:highlight w:val="none"/>
                <w:lang w:eastAsia="zh-CN"/>
              </w:rPr>
              <w:t>。</w:t>
            </w:r>
          </w:p>
          <w:p w14:paraId="6DC4F55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）陪护人员统一服装，在楼内不能从事抽烟、喝酒等医院所禁止的内容。</w:t>
            </w:r>
          </w:p>
          <w:p w14:paraId="783FB19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）针对目前医院陪护状况制定详细的服务方案。</w:t>
            </w:r>
          </w:p>
          <w:p w14:paraId="32808A6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5.陪护服务公司服务项目：要求提供一般生活陪护服务项目及其他医院需要的特色服务项目。</w:t>
            </w:r>
          </w:p>
          <w:p w14:paraId="4D1B542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6.陪护服务公司培训课程要求：提供岗前培训科目，在岗培训及考核科目</w:t>
            </w:r>
            <w:r>
              <w:rPr>
                <w:rFonts w:hint="eastAsia" w:ascii="宋体" w:hAnsi="宋体" w:eastAsia="宋体" w:cs="宋体"/>
                <w:color w:val="auto"/>
                <w:sz w:val="24"/>
                <w:szCs w:val="24"/>
                <w:highlight w:val="none"/>
                <w:lang w:eastAsia="zh-CN"/>
              </w:rPr>
              <w:t>。</w:t>
            </w:r>
          </w:p>
          <w:p w14:paraId="184525C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7.陪护服务公司质量管理标准要求</w:t>
            </w:r>
          </w:p>
          <w:p w14:paraId="2A1C67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（1）要求提供陪护突发事件应急预案，陪护工作管理流程，陪护日常工作内容及质量管理标准</w:t>
            </w:r>
            <w:r>
              <w:rPr>
                <w:rFonts w:hint="eastAsia" w:ascii="宋体" w:hAnsi="宋体" w:eastAsia="宋体" w:cs="宋体"/>
                <w:color w:val="auto"/>
                <w:sz w:val="24"/>
                <w:szCs w:val="24"/>
                <w:highlight w:val="none"/>
                <w:lang w:eastAsia="zh-CN"/>
              </w:rPr>
              <w:t>。</w:t>
            </w:r>
          </w:p>
          <w:p w14:paraId="1A2CFF9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（2）科室参与陪护管理及陪护工作质量检查，明确奖罚制度并监督实施。</w:t>
            </w:r>
          </w:p>
          <w:p w14:paraId="510BAFF5">
            <w:pPr>
              <w:spacing w:line="32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8.陪护服务公司收费标准：一对一不高于220元/</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天；一对二不高于180元/</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一对多不超过100元/天。</w:t>
            </w:r>
            <w:r>
              <w:rPr>
                <w:rFonts w:hint="eastAsia" w:ascii="宋体" w:hAnsi="宋体" w:eastAsia="宋体" w:cs="宋体"/>
                <w:color w:val="auto"/>
                <w:sz w:val="24"/>
                <w:szCs w:val="24"/>
                <w:highlight w:val="none"/>
              </w:rPr>
              <w:t>陪护费用不能高于同一区域或同级医院收费标准。陪护服务公司需提供收费标准，派工及陪护费用结算流程。</w:t>
            </w:r>
          </w:p>
          <w:p w14:paraId="021498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9.工作内容包括</w:t>
            </w:r>
          </w:p>
          <w:p w14:paraId="0FBE1239">
            <w:pPr>
              <w:pageBreakBefore w:val="0"/>
              <w:kinsoku/>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（1）完成基础护理工作</w:t>
            </w:r>
          </w:p>
          <w:p w14:paraId="61B037E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①做好病人卫生，无异味，保持好仪容仪表：帮助患者完成清洁卫生，如洗脸、洗头、梳头、口腔清洁、假牙护理、擦全身、更衣、修剪指（趾）甲、刮胡须、协助入厕或使用便盆、便壶、清理大小便等。</w:t>
            </w:r>
          </w:p>
          <w:p w14:paraId="60A2831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②协助病人满足营养需求，如：协助进餐、饮水等。</w:t>
            </w:r>
          </w:p>
          <w:p w14:paraId="752D896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③长期卧床病人，要定时协助翻身、拍背，保持皮肤清洁干净、衣着及床单位整洁平整，防止压力性损伤发生。</w:t>
            </w:r>
          </w:p>
          <w:p w14:paraId="0BB78AD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④接触不同患者前后、接触患者物品前后、处理污物后应执行手卫生，防止交叉感染。</w:t>
            </w:r>
          </w:p>
          <w:p w14:paraId="0DD6EBD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（2）落实患者安全管理措施</w:t>
            </w:r>
          </w:p>
          <w:p w14:paraId="36192C6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①观察患者的情绪，发现异常情况（如自杀倾向等），及时告知医护人员、患者家属，并帮助患者缓解焦虑等，预防不良事件发生，做好交接。</w:t>
            </w:r>
          </w:p>
          <w:p w14:paraId="1C5867E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②保护患者的隐私，不私下谈论病情，不泄露患者的个人信息。</w:t>
            </w:r>
          </w:p>
          <w:p w14:paraId="0B760D2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③维护病人安全管理：协助病人上下床、轮椅或平车转移，避免滑倒坠床。对风险高的患者，要落实好安全措施，如卧床时拉起护栏、行走时穿防滑鞋、衣着舒适合体等。</w:t>
            </w:r>
          </w:p>
          <w:p w14:paraId="50E8578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④有管道的患者（静脉中心导管、引流管等），应注意保护好管道，防止滑脱、牵拉、扭曲、折叠等，禁止擅自倾倒特殊引流液。</w:t>
            </w:r>
          </w:p>
          <w:p w14:paraId="190922E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⑤加强患者的看护，防止走失。</w:t>
            </w:r>
          </w:p>
          <w:p w14:paraId="5E00E18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⑥合理安排时间巡视所看护的患者，严禁出现液体输空或患者需要帮助时，无陪护在身旁。</w:t>
            </w:r>
          </w:p>
          <w:p w14:paraId="5667F19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⑦病人如果有特殊情况及时报告医护人员：如发现病人发热、输液部位局部肿胀等。</w:t>
            </w:r>
          </w:p>
          <w:p w14:paraId="4A92CA9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⑧在医生指导下协助病人进行功能锻炼。</w:t>
            </w:r>
          </w:p>
          <w:p w14:paraId="159C1C4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（3）协助完善病区管理工作</w:t>
            </w:r>
          </w:p>
          <w:p w14:paraId="7D4D423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①服从科室医护人员的安排。</w:t>
            </w:r>
          </w:p>
          <w:p w14:paraId="0651E46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②协助护士做好术前准备：患者全身皮肤清洁、更换病员服、协助送入手术室，为患者铺好床单位。</w:t>
            </w:r>
          </w:p>
          <w:p w14:paraId="397654A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③协助护士做好术后接收工作：协助科室术后患者过床，取合适的体位。</w:t>
            </w:r>
          </w:p>
          <w:p w14:paraId="5922D37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④服务期间，病人外出检查、治疗等，陪护陪同，不能让病人单独前往，如遇神志不清病人，应对病人进行看护。</w:t>
            </w:r>
          </w:p>
          <w:p w14:paraId="22D63A9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⑤陪护期间协助清洁工做好病区环境卫生，保持床头柜、病床的清洁，垃圾入篓（生活垃圾和医疗垃圾分类放置）。</w:t>
            </w:r>
          </w:p>
          <w:p w14:paraId="31D1E65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⑥保管好病人的物品，如各种检查单据、报告或受患者委托代管的物品。</w:t>
            </w:r>
          </w:p>
          <w:p w14:paraId="00F30AB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⑦协助科室完成整理陪伴椅、更换床单被套、床单位消毒、急查标本送检、值班期间为患者取急诊用药等工作。</w:t>
            </w:r>
          </w:p>
          <w:p w14:paraId="30F2E0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⑧维护病区的和谐环境，发现患者在病房有纠纷倾向，及时报告医护人员。不能与患者及家属发生争执或其他过激行为。</w:t>
            </w:r>
          </w:p>
          <w:p w14:paraId="5CB21A1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10.责任</w:t>
            </w:r>
          </w:p>
          <w:p w14:paraId="26D5DEF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服务期间如发生以下问题，</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承担全部责任</w:t>
            </w:r>
          </w:p>
          <w:p w14:paraId="7B7158FE">
            <w:pPr>
              <w:pageBreakBefore w:val="0"/>
              <w:numPr>
                <w:ilvl w:val="0"/>
                <w:numId w:val="4"/>
              </w:numPr>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陪护在病房内禁止使用用</w:t>
            </w:r>
            <w:r>
              <w:rPr>
                <w:rFonts w:hint="eastAsia" w:ascii="宋体" w:hAnsi="宋体" w:cs="宋体"/>
                <w:color w:val="auto"/>
                <w:sz w:val="24"/>
                <w:szCs w:val="24"/>
                <w:highlight w:val="none"/>
                <w:lang w:eastAsia="zh-CN"/>
              </w:rPr>
              <w:t>响消防安全及公共安全的设备</w:t>
            </w:r>
            <w:r>
              <w:rPr>
                <w:rFonts w:hint="eastAsia" w:ascii="宋体" w:hAnsi="宋体" w:eastAsia="宋体" w:cs="宋体"/>
                <w:color w:val="auto"/>
                <w:sz w:val="24"/>
                <w:szCs w:val="24"/>
                <w:highlight w:val="none"/>
              </w:rPr>
              <w:t>，如电饭煲，电磁炉，酒精炉等</w:t>
            </w:r>
            <w:r>
              <w:rPr>
                <w:rFonts w:hint="eastAsia" w:ascii="宋体" w:hAnsi="宋体" w:cs="宋体"/>
                <w:color w:val="auto"/>
                <w:sz w:val="24"/>
                <w:szCs w:val="24"/>
                <w:highlight w:val="none"/>
                <w:lang w:eastAsia="zh-CN"/>
              </w:rPr>
              <w:t>。</w:t>
            </w:r>
          </w:p>
          <w:p w14:paraId="7A5A87F3">
            <w:pPr>
              <w:pageBreakBefore w:val="0"/>
              <w:numPr>
                <w:ilvl w:val="0"/>
                <w:numId w:val="4"/>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长期卧床病人发生压力性损伤、跌倒坠床、自杀等。</w:t>
            </w:r>
          </w:p>
          <w:p w14:paraId="31E9BC9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（3）因陪护照顾不利，导致患者发生走失、烫伤、误吸、窒息、管道滑脱等不良事件。</w:t>
            </w:r>
          </w:p>
          <w:p w14:paraId="02E233A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（4）因陪护人员操作不当（如拖、拉、拽患者</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），导致患者植入的假体脱落（如髋关节、膝关节等）。</w:t>
            </w:r>
          </w:p>
          <w:p w14:paraId="6426901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（5）陪护期间病人物品丢失。</w:t>
            </w:r>
          </w:p>
          <w:p w14:paraId="13A23A3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11.陪护人员道德规范</w:t>
            </w:r>
          </w:p>
          <w:p w14:paraId="49848AB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忠于职守、 热爱本职、 一视同仁、 满腔热忱、 文明礼貌、  文明服务</w:t>
            </w:r>
          </w:p>
          <w:p w14:paraId="42065E4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遵纪守法、 不谋私利、 保守秘密、 尊重人格、 搞好团结、  密切合作</w:t>
            </w:r>
          </w:p>
          <w:p w14:paraId="7322A9E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掌握技术、 精益求精、 严谨求实、 积极向上</w:t>
            </w:r>
            <w:r>
              <w:rPr>
                <w:rFonts w:hint="eastAsia" w:ascii="宋体" w:hAnsi="宋体" w:eastAsia="宋体" w:cs="宋体"/>
                <w:color w:val="auto"/>
                <w:sz w:val="24"/>
                <w:szCs w:val="24"/>
                <w:highlight w:val="none"/>
                <w:lang w:eastAsia="zh-CN"/>
              </w:rPr>
              <w:t>。</w:t>
            </w:r>
          </w:p>
          <w:p w14:paraId="7BF577F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12.语言要求</w:t>
            </w:r>
          </w:p>
          <w:p w14:paraId="520003F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（1）语言精确恰当：要估计病人的教育程度及理解力，选择合适的语言来表达。语言内容要严谨、符合伦理道德原则。</w:t>
            </w:r>
          </w:p>
          <w:p w14:paraId="137807E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语言的情感性：语言的情感沟通是陪护与患者之间感情的“桥梁”，应满腔热情地面对病人，将病人的爱心、同情心和真诚相助的情感融在言语中。如早上病人醒来，微笑对病人说：“您晚上睡的好吗？”“今天天气真好！我打开窗户交换一下空气，行吗？”</w:t>
            </w:r>
            <w:r>
              <w:rPr>
                <w:rFonts w:hint="eastAsia" w:ascii="宋体" w:hAnsi="宋体" w:eastAsia="宋体" w:cs="宋体"/>
                <w:color w:val="auto"/>
                <w:sz w:val="24"/>
                <w:szCs w:val="24"/>
                <w:highlight w:val="none"/>
                <w:lang w:eastAsia="zh-CN"/>
              </w:rPr>
              <w:t>。</w:t>
            </w:r>
          </w:p>
          <w:p w14:paraId="17ECD77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（3）语言的保密性：对病人的隐私如生理缺陷、精神病、性病等要保密，病人不愿意陈述的内容不要问，更不能向别人散布。</w:t>
            </w:r>
          </w:p>
          <w:p w14:paraId="662A6B7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（4）不要谈论对服务医院、科室及医护人员不利的言论。</w:t>
            </w:r>
          </w:p>
          <w:p w14:paraId="57C8006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（5）不要在病区或者同一病室搬弄是非。</w:t>
            </w:r>
          </w:p>
          <w:p w14:paraId="260D68B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13.符合文明礼貌要求的陪护人员日常用语</w:t>
            </w:r>
          </w:p>
          <w:p w14:paraId="6207E1A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（1）招呼用语：和对方见面可说：“您好”、“请坐”，见面后不能马上达到对方的要求可用“请稍候”“请别急”其他“谢谢”“再见”</w:t>
            </w:r>
          </w:p>
          <w:p w14:paraId="620C9BB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（2）称呼用语：对病人的称呼要有分寸，可视年龄、职业而选择不同的称呼。如张局长、李科长、王处长、李医生、张老师等；不可对老人称呼老张、老李。</w:t>
            </w:r>
          </w:p>
          <w:p w14:paraId="77E436D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（3）介绍用语：“您好，我是负责你……，我叫……”</w:t>
            </w:r>
          </w:p>
          <w:p w14:paraId="132D7B4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14.与病人交流中的禁忌</w:t>
            </w:r>
          </w:p>
          <w:p w14:paraId="4B1CF0D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（1）忌讳出言不逊，恶语伤人</w:t>
            </w:r>
          </w:p>
          <w:p w14:paraId="15F9210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（2）忌讳使用质问式语言</w:t>
            </w:r>
          </w:p>
          <w:p w14:paraId="33CDDC2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（3）忌讳使用命令式语言</w:t>
            </w:r>
          </w:p>
          <w:p w14:paraId="08C323F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（4）忌讳使用土语、习惯用语、暗语和所谓的行话</w:t>
            </w:r>
          </w:p>
          <w:p w14:paraId="292900E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（5）忌讳对病人不愿回答的问题刨根问底</w:t>
            </w:r>
          </w:p>
          <w:p w14:paraId="2AB88BE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（6）忌讳口头禅</w:t>
            </w:r>
          </w:p>
          <w:p w14:paraId="3E5E011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（7）忌讳用粗话、脏话</w:t>
            </w:r>
          </w:p>
          <w:p w14:paraId="2099E57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（8）忌讳与病人交谈涉及到死亡的事情</w:t>
            </w:r>
          </w:p>
          <w:p w14:paraId="7B8AB10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（9）忌讳在病人不知情的情况下谈论病人病情</w:t>
            </w:r>
          </w:p>
          <w:p w14:paraId="4FA5FD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（10）禁忌与病人吵架</w:t>
            </w:r>
          </w:p>
          <w:p w14:paraId="7B4DF4C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（11）禁忌打骂病人</w:t>
            </w:r>
            <w:r>
              <w:rPr>
                <w:rFonts w:hint="eastAsia" w:ascii="宋体" w:hAnsi="宋体" w:eastAsia="宋体" w:cs="宋体"/>
                <w:color w:val="auto"/>
                <w:sz w:val="24"/>
                <w:szCs w:val="24"/>
                <w:highlight w:val="none"/>
                <w:lang w:eastAsia="zh-CN"/>
              </w:rPr>
              <w:t>。</w:t>
            </w:r>
          </w:p>
          <w:p w14:paraId="32A2543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15.陪护人员不得有下列行为</w:t>
            </w:r>
          </w:p>
          <w:p w14:paraId="6BB84F9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（1）连接输液管或者拔出输液管路、调节输液速度，更换引流管等。</w:t>
            </w:r>
          </w:p>
          <w:p w14:paraId="726ED8B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（2）操作监护仪等急救、诊疗设施设备。</w:t>
            </w:r>
          </w:p>
          <w:p w14:paraId="23FAAAC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（3）擅自调节氧气开关。</w:t>
            </w:r>
          </w:p>
          <w:p w14:paraId="700E03C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（4）擅自为患者做吸痰（包括气管切开患者）、雾化吸入等医疗服务。</w:t>
            </w:r>
          </w:p>
          <w:p w14:paraId="4595329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（5）未经卫生技术人员指导，做热敷、冷敷。</w:t>
            </w:r>
          </w:p>
          <w:p w14:paraId="4128632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（6）未经卫生技术人员同意，为危重、术后或者病情不稳定患者更换床单、改变体位或者下床活动、喂食、喂水等医疗服务。</w:t>
            </w:r>
          </w:p>
          <w:p w14:paraId="77656DF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（7）擅自翻阅病历或者其他医疗文书。</w:t>
            </w:r>
          </w:p>
          <w:p w14:paraId="4B0ED5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（8）擅自为患者解释病情。</w:t>
            </w:r>
          </w:p>
          <w:p w14:paraId="0D48ACC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（9）在医院及科室内从事推销商品等活动。</w:t>
            </w:r>
          </w:p>
          <w:p w14:paraId="378455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（10）开展其它医疗卫生技术活动。</w:t>
            </w:r>
          </w:p>
          <w:p w14:paraId="518E614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（11）陪护人员不得干扰医护人员的工作秩序，不得指挥或评价医护人员的医疗行为。</w:t>
            </w:r>
          </w:p>
          <w:p w14:paraId="661166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（12）不得擅自增加收费服务项目。</w:t>
            </w:r>
          </w:p>
          <w:p w14:paraId="5037613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（二）人员配置要求</w:t>
            </w:r>
          </w:p>
          <w:p w14:paraId="0862EC9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1.管理人员配置要求：50岁以下、大专以上学历、有一定相关业务管理</w:t>
            </w:r>
            <w:r>
              <w:rPr>
                <w:rFonts w:hint="eastAsia" w:ascii="宋体" w:hAnsi="宋体" w:cs="宋体"/>
                <w:color w:val="auto"/>
                <w:sz w:val="24"/>
                <w:szCs w:val="24"/>
                <w:highlight w:val="none"/>
                <w:lang w:eastAsia="zh-CN"/>
              </w:rPr>
              <w:t>经历</w:t>
            </w:r>
            <w:r>
              <w:rPr>
                <w:rFonts w:hint="eastAsia" w:ascii="宋体" w:hAnsi="宋体" w:eastAsia="宋体" w:cs="宋体"/>
                <w:color w:val="auto"/>
                <w:sz w:val="24"/>
                <w:szCs w:val="24"/>
                <w:highlight w:val="none"/>
              </w:rPr>
              <w:t>。</w:t>
            </w:r>
          </w:p>
          <w:p w14:paraId="648A2EF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2.陪护人员配置：根据不同科室不同病人的不同需求配置合理的陪护人员</w:t>
            </w:r>
          </w:p>
          <w:p w14:paraId="2907CFB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3.陪护比例要求：陪护人员要求按照1:0.3比例配置。</w:t>
            </w:r>
          </w:p>
          <w:p w14:paraId="0A1FFB1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4.陪护人员管理要求：陪护人员应当具备一定基础护理能力；人员相对固定；陪护人员管理病人要求量化指标固定，不</w:t>
            </w:r>
            <w:r>
              <w:rPr>
                <w:rFonts w:hint="eastAsia" w:ascii="宋体" w:hAnsi="宋体" w:cs="宋体"/>
                <w:color w:val="auto"/>
                <w:sz w:val="24"/>
                <w:szCs w:val="24"/>
                <w:highlight w:val="none"/>
                <w:lang w:eastAsia="zh-CN"/>
              </w:rPr>
              <w:t>得</w:t>
            </w:r>
            <w:r>
              <w:rPr>
                <w:rFonts w:hint="eastAsia" w:ascii="宋体" w:hAnsi="宋体" w:eastAsia="宋体" w:cs="宋体"/>
                <w:color w:val="auto"/>
                <w:sz w:val="24"/>
                <w:szCs w:val="24"/>
                <w:highlight w:val="none"/>
              </w:rPr>
              <w:t>随意增加陪护病人数量。</w:t>
            </w:r>
          </w:p>
          <w:p w14:paraId="1D1D6A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5.入驻科室的陪护人员相对固定，在陪护期间不要随意跨科、跨系统工作。</w:t>
            </w:r>
          </w:p>
          <w:p w14:paraId="19FE5D3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6.对于危重患者，应一对一服务。</w:t>
            </w:r>
          </w:p>
          <w:p w14:paraId="506535E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7.其他要求：</w:t>
            </w:r>
          </w:p>
          <w:p w14:paraId="3831313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政治觉悟高，拥护中国共产党的领导，遵守宪法和法律，严格遵守医院各项规章制度，除公司要求外，需服从医院及科室工作</w:t>
            </w:r>
            <w:r>
              <w:rPr>
                <w:rFonts w:hint="eastAsia" w:ascii="宋体" w:hAnsi="宋体" w:cs="宋体"/>
                <w:color w:val="auto"/>
                <w:sz w:val="24"/>
                <w:szCs w:val="24"/>
                <w:highlight w:val="none"/>
                <w:lang w:eastAsia="zh-CN"/>
              </w:rPr>
              <w:t>安</w:t>
            </w:r>
            <w:r>
              <w:rPr>
                <w:rFonts w:hint="eastAsia" w:ascii="宋体" w:hAnsi="宋体" w:eastAsia="宋体" w:cs="宋体"/>
                <w:color w:val="auto"/>
                <w:sz w:val="24"/>
                <w:szCs w:val="24"/>
                <w:highlight w:val="none"/>
              </w:rPr>
              <w:t>排，</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考核不合格可无条件解除协议不承担任何责任。</w:t>
            </w:r>
          </w:p>
          <w:p w14:paraId="6F5FC94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（三）服务目标</w:t>
            </w:r>
          </w:p>
          <w:p w14:paraId="62D6093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1.服务医院为主，达到院方的管理要求。</w:t>
            </w:r>
          </w:p>
          <w:p w14:paraId="3C6AE9D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2.病人满意，科室满意，医院放心。</w:t>
            </w:r>
          </w:p>
          <w:p w14:paraId="0DC8616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3.保证服务质量；避免安全隐患。</w:t>
            </w:r>
          </w:p>
          <w:p w14:paraId="0F1DF2A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4.维持员工队伍的稳定，保障员工的基本权利。</w:t>
            </w:r>
          </w:p>
          <w:p w14:paraId="733D27E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（四）投标人相关要求</w:t>
            </w:r>
          </w:p>
          <w:p w14:paraId="5B791C9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1.管理要求</w:t>
            </w:r>
          </w:p>
          <w:p w14:paraId="52446DB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（1）加强管理人员的培训，提高独立处理事务的能力，重点考评管理人员与护士长及时沟通的能力，对不能胜任管理工作的员工进行适当调整。</w:t>
            </w:r>
          </w:p>
          <w:p w14:paraId="4ECC1B4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（2）积极招募陪护人员，确保在病患需要服务时，第一时间安排陪护上岗。</w:t>
            </w:r>
          </w:p>
          <w:p w14:paraId="28910CA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（3）陪护管理人员应建立24小时值班制，</w:t>
            </w:r>
            <w:r>
              <w:rPr>
                <w:rFonts w:hint="eastAsia" w:ascii="宋体" w:hAnsi="宋体" w:cs="宋体"/>
                <w:color w:val="auto"/>
                <w:sz w:val="24"/>
                <w:szCs w:val="24"/>
                <w:highlight w:val="none"/>
                <w:lang w:eastAsia="zh-CN"/>
              </w:rPr>
              <w:t>为患者及时提供</w:t>
            </w:r>
            <w:r>
              <w:rPr>
                <w:rFonts w:hint="eastAsia" w:ascii="宋体" w:hAnsi="宋体" w:eastAsia="宋体" w:cs="宋体"/>
                <w:color w:val="auto"/>
                <w:sz w:val="24"/>
                <w:szCs w:val="24"/>
                <w:highlight w:val="none"/>
              </w:rPr>
              <w:t>陪护。</w:t>
            </w:r>
          </w:p>
          <w:p w14:paraId="616D55B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（4）服务公司对其在我院医疗服务区域内</w:t>
            </w:r>
            <w:r>
              <w:rPr>
                <w:rFonts w:hint="eastAsia" w:ascii="宋体" w:hAnsi="宋体" w:cs="宋体"/>
                <w:color w:val="auto"/>
                <w:sz w:val="24"/>
                <w:szCs w:val="24"/>
                <w:highlight w:val="none"/>
                <w:lang w:eastAsia="zh-CN"/>
              </w:rPr>
              <w:t>提供陪护</w:t>
            </w:r>
            <w:r>
              <w:rPr>
                <w:rFonts w:hint="eastAsia" w:ascii="宋体" w:hAnsi="宋体" w:eastAsia="宋体" w:cs="宋体"/>
                <w:color w:val="auto"/>
                <w:sz w:val="24"/>
                <w:szCs w:val="24"/>
                <w:highlight w:val="none"/>
              </w:rPr>
              <w:t>服务，统一建立档案进行管理。</w:t>
            </w:r>
          </w:p>
          <w:p w14:paraId="0B9D96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（5）服务公司应积极组织服务人员参加岗前培训和岗位培训，所有服务人员</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经培训考核合格后上岗。</w:t>
            </w:r>
          </w:p>
          <w:p w14:paraId="5DABC4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（6）服务人员提供服务时应佩戴统一证件，并着统一工作服。</w:t>
            </w:r>
          </w:p>
          <w:p w14:paraId="38FDCC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（7）对不符合</w:t>
            </w:r>
            <w:r>
              <w:rPr>
                <w:rFonts w:hint="eastAsia" w:ascii="宋体" w:hAnsi="宋体" w:cs="宋体"/>
                <w:color w:val="auto"/>
                <w:sz w:val="24"/>
                <w:szCs w:val="24"/>
                <w:highlight w:val="none"/>
                <w:lang w:eastAsia="zh-CN"/>
              </w:rPr>
              <w:t>采购人及病患</w:t>
            </w:r>
            <w:r>
              <w:rPr>
                <w:rFonts w:hint="eastAsia" w:ascii="宋体" w:hAnsi="宋体" w:eastAsia="宋体" w:cs="宋体"/>
                <w:color w:val="auto"/>
                <w:sz w:val="24"/>
                <w:szCs w:val="24"/>
                <w:highlight w:val="none"/>
              </w:rPr>
              <w:t>要求的陪护进行调离和辞退。</w:t>
            </w:r>
          </w:p>
          <w:p w14:paraId="757AE27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（8）服务公司要加强对病人和家属服务工作的宣教和告知，并请病</w:t>
            </w:r>
            <w:r>
              <w:rPr>
                <w:rFonts w:hint="eastAsia" w:ascii="宋体" w:hAnsi="宋体" w:cs="宋体"/>
                <w:color w:val="auto"/>
                <w:sz w:val="24"/>
                <w:szCs w:val="24"/>
                <w:highlight w:val="none"/>
                <w:lang w:eastAsia="zh-CN"/>
              </w:rPr>
              <w:t>患</w:t>
            </w:r>
            <w:r>
              <w:rPr>
                <w:rFonts w:hint="eastAsia" w:ascii="宋体" w:hAnsi="宋体" w:eastAsia="宋体" w:cs="宋体"/>
                <w:color w:val="auto"/>
                <w:sz w:val="24"/>
                <w:szCs w:val="24"/>
                <w:highlight w:val="none"/>
              </w:rPr>
              <w:t>签字。</w:t>
            </w:r>
          </w:p>
          <w:p w14:paraId="5D20230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（9）做好服务人员的管理工作，严禁服务人员在病房使用</w:t>
            </w:r>
            <w:r>
              <w:rPr>
                <w:rFonts w:hint="eastAsia" w:ascii="宋体" w:hAnsi="宋体" w:cs="宋体"/>
                <w:color w:val="auto"/>
                <w:sz w:val="24"/>
                <w:szCs w:val="24"/>
                <w:highlight w:val="none"/>
                <w:lang w:eastAsia="zh-CN"/>
              </w:rPr>
              <w:t>影响消防安全及公共安全的设备</w:t>
            </w:r>
            <w:r>
              <w:rPr>
                <w:rFonts w:hint="eastAsia" w:ascii="宋体" w:hAnsi="宋体" w:eastAsia="宋体" w:cs="宋体"/>
                <w:color w:val="auto"/>
                <w:sz w:val="24"/>
                <w:szCs w:val="24"/>
                <w:highlight w:val="none"/>
              </w:rPr>
              <w:t>，如电饭煲，电磁炉，酒精炉等，爱护科室公物，不得随意挪用，损坏公物应按价赔偿。</w:t>
            </w:r>
          </w:p>
          <w:p w14:paraId="53F02C8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（五）改善服务要求</w:t>
            </w:r>
          </w:p>
          <w:p w14:paraId="46979B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要负责处理与服务相关的病人跌倒、投诉、纠纷及赔付</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，保证服务工作有序规范的稳健运行。</w:t>
            </w:r>
          </w:p>
          <w:p w14:paraId="321743BC">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制定满意度测评表，定期对各科陪护人员进行满意度测评，了解医院各科室的</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求，及时调整服务策略，提升服务质量</w:t>
            </w:r>
            <w:r>
              <w:rPr>
                <w:rFonts w:hint="eastAsia" w:ascii="宋体" w:hAnsi="宋体" w:cs="宋体"/>
                <w:color w:val="auto"/>
                <w:sz w:val="24"/>
                <w:szCs w:val="24"/>
                <w:highlight w:val="none"/>
                <w:lang w:eastAsia="zh-CN"/>
              </w:rPr>
              <w:t>，满意度测评表须在采购人处备案。</w:t>
            </w:r>
          </w:p>
          <w:p w14:paraId="32CAC00E">
            <w:pPr>
              <w:pageBreakBefore w:val="0"/>
              <w:kinsoku/>
              <w:overflowPunct/>
              <w:topLinePunct w:val="0"/>
              <w:autoSpaceDE/>
              <w:autoSpaceDN/>
              <w:bidi w:val="0"/>
              <w:spacing w:line="400" w:lineRule="exact"/>
              <w:ind w:firstLine="480" w:firstLineChars="200"/>
              <w:textAlignment w:val="auto"/>
              <w:rPr>
                <w:rFonts w:hint="eastAsia"/>
                <w:b/>
                <w:color w:val="auto"/>
                <w:sz w:val="32"/>
                <w:szCs w:val="32"/>
              </w:rPr>
            </w:pPr>
            <w:r>
              <w:rPr>
                <w:rFonts w:hint="eastAsia" w:ascii="宋体" w:hAnsi="宋体" w:eastAsia="宋体" w:cs="宋体"/>
                <w:color w:val="auto"/>
                <w:sz w:val="24"/>
                <w:szCs w:val="24"/>
                <w:highlight w:val="none"/>
                <w:lang w:val="en-US" w:eastAsia="zh-CN"/>
              </w:rPr>
              <w:t>（六）考核标准：</w:t>
            </w:r>
            <w:r>
              <w:rPr>
                <w:rFonts w:hint="eastAsia" w:ascii="宋体" w:hAnsi="宋体" w:eastAsia="宋体" w:cs="宋体"/>
                <w:color w:val="auto"/>
                <w:sz w:val="24"/>
                <w:szCs w:val="24"/>
                <w:highlight w:val="none"/>
              </w:rPr>
              <w:t>采购人现场检查督导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cs="宋体"/>
                <w:color w:val="auto"/>
                <w:sz w:val="24"/>
                <w:szCs w:val="24"/>
                <w:highlight w:val="none"/>
                <w:lang w:val="en-US" w:eastAsia="zh-CN"/>
              </w:rPr>
              <w:t>季度1次</w:t>
            </w:r>
            <w:r>
              <w:rPr>
                <w:rFonts w:hint="eastAsia" w:ascii="宋体" w:hAnsi="宋体" w:cs="宋体"/>
                <w:color w:val="auto"/>
                <w:sz w:val="24"/>
                <w:szCs w:val="24"/>
                <w:highlight w:val="none"/>
                <w:lang w:eastAsia="zh-CN"/>
              </w:rPr>
              <w:t>。</w:t>
            </w:r>
          </w:p>
          <w:p w14:paraId="58B7234B">
            <w:pPr>
              <w:jc w:val="center"/>
              <w:rPr>
                <w:rFonts w:hint="eastAsia"/>
                <w:b/>
                <w:color w:val="auto"/>
                <w:sz w:val="32"/>
                <w:szCs w:val="32"/>
              </w:rPr>
            </w:pPr>
          </w:p>
          <w:p w14:paraId="70DACE9D">
            <w:pPr>
              <w:jc w:val="center"/>
              <w:rPr>
                <w:rFonts w:hint="eastAsia"/>
                <w:b/>
                <w:color w:val="auto"/>
                <w:sz w:val="32"/>
                <w:szCs w:val="32"/>
              </w:rPr>
            </w:pPr>
          </w:p>
          <w:p w14:paraId="4D4573FD">
            <w:pPr>
              <w:jc w:val="center"/>
              <w:rPr>
                <w:rFonts w:hint="eastAsia"/>
                <w:b/>
                <w:color w:val="auto"/>
                <w:sz w:val="32"/>
                <w:szCs w:val="32"/>
              </w:rPr>
            </w:pPr>
          </w:p>
          <w:p w14:paraId="22506293">
            <w:pPr>
              <w:jc w:val="center"/>
              <w:rPr>
                <w:rFonts w:hint="eastAsia" w:eastAsia="宋体"/>
                <w:b/>
                <w:color w:val="auto"/>
                <w:sz w:val="32"/>
                <w:szCs w:val="32"/>
                <w:lang w:eastAsia="zh-CN"/>
              </w:rPr>
            </w:pPr>
            <w:r>
              <w:rPr>
                <w:rFonts w:hint="eastAsia"/>
                <w:b/>
                <w:color w:val="auto"/>
                <w:sz w:val="32"/>
                <w:szCs w:val="32"/>
              </w:rPr>
              <w:t>护工公司工作质量考核细则</w:t>
            </w:r>
            <w:r>
              <w:rPr>
                <w:rFonts w:hint="eastAsia"/>
                <w:b/>
                <w:color w:val="auto"/>
                <w:sz w:val="32"/>
                <w:szCs w:val="32"/>
                <w:lang w:eastAsia="zh-CN"/>
              </w:rPr>
              <w:t>表</w:t>
            </w:r>
          </w:p>
          <w:p w14:paraId="002D0328">
            <w:pPr>
              <w:spacing w:line="360" w:lineRule="exact"/>
              <w:ind w:firstLine="105" w:firstLineChars="50"/>
              <w:rPr>
                <w:rFonts w:hint="eastAsia"/>
                <w:color w:val="auto"/>
                <w:szCs w:val="21"/>
              </w:rPr>
            </w:pPr>
            <w:r>
              <w:rPr>
                <w:rFonts w:hint="eastAsia"/>
                <w:color w:val="auto"/>
              </w:rPr>
              <w:t xml:space="preserve">  </w:t>
            </w:r>
            <w:r>
              <w:rPr>
                <w:rFonts w:hint="eastAsia"/>
                <w:color w:val="auto"/>
                <w:szCs w:val="21"/>
              </w:rPr>
              <w:t>日期：                        考核人：                            得分：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1984"/>
              <w:gridCol w:w="855"/>
            </w:tblGrid>
            <w:tr w14:paraId="05BF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B45837D">
                  <w:pPr>
                    <w:jc w:val="center"/>
                    <w:rPr>
                      <w:rFonts w:hint="eastAsia" w:ascii="宋体" w:hAnsi="宋体"/>
                      <w:color w:val="auto"/>
                      <w:szCs w:val="21"/>
                    </w:rPr>
                  </w:pPr>
                  <w:r>
                    <w:rPr>
                      <w:rFonts w:hint="eastAsia" w:ascii="宋体" w:hAnsi="宋体"/>
                      <w:color w:val="auto"/>
                      <w:szCs w:val="21"/>
                    </w:rPr>
                    <w:t>项目</w:t>
                  </w:r>
                </w:p>
                <w:p w14:paraId="4C28D02C">
                  <w:pPr>
                    <w:jc w:val="center"/>
                    <w:rPr>
                      <w:rFonts w:hint="eastAsia" w:ascii="宋体" w:hAnsi="宋体"/>
                      <w:color w:val="auto"/>
                      <w:szCs w:val="21"/>
                    </w:rPr>
                  </w:pPr>
                  <w:r>
                    <w:rPr>
                      <w:rFonts w:ascii="宋体" w:hAnsi="宋体"/>
                      <w:color w:val="auto"/>
                      <w:szCs w:val="21"/>
                    </w:rPr>
                    <w:t>分值</w:t>
                  </w:r>
                </w:p>
              </w:tc>
              <w:tc>
                <w:tcPr>
                  <w:tcW w:w="5812" w:type="dxa"/>
                  <w:noWrap w:val="0"/>
                  <w:vAlign w:val="top"/>
                </w:tcPr>
                <w:p w14:paraId="6A904AB3">
                  <w:pPr>
                    <w:jc w:val="center"/>
                    <w:rPr>
                      <w:rFonts w:hint="eastAsia" w:ascii="宋体" w:hAnsi="宋体"/>
                      <w:color w:val="auto"/>
                      <w:szCs w:val="21"/>
                    </w:rPr>
                  </w:pPr>
                  <w:r>
                    <w:rPr>
                      <w:rFonts w:hint="eastAsia" w:ascii="宋体" w:hAnsi="宋体"/>
                      <w:color w:val="auto"/>
                      <w:szCs w:val="21"/>
                    </w:rPr>
                    <w:t>质量要求</w:t>
                  </w:r>
                </w:p>
              </w:tc>
              <w:tc>
                <w:tcPr>
                  <w:tcW w:w="1984" w:type="dxa"/>
                  <w:noWrap w:val="0"/>
                  <w:vAlign w:val="top"/>
                </w:tcPr>
                <w:p w14:paraId="626A5E1B">
                  <w:pPr>
                    <w:jc w:val="center"/>
                    <w:rPr>
                      <w:rFonts w:hint="eastAsia" w:ascii="宋体" w:hAnsi="宋体"/>
                      <w:color w:val="auto"/>
                      <w:szCs w:val="21"/>
                    </w:rPr>
                  </w:pPr>
                  <w:r>
                    <w:rPr>
                      <w:rFonts w:hint="eastAsia" w:ascii="宋体" w:hAnsi="宋体"/>
                      <w:color w:val="auto"/>
                      <w:szCs w:val="21"/>
                    </w:rPr>
                    <w:t>评分标准</w:t>
                  </w:r>
                </w:p>
              </w:tc>
              <w:tc>
                <w:tcPr>
                  <w:tcW w:w="855" w:type="dxa"/>
                  <w:noWrap w:val="0"/>
                  <w:vAlign w:val="top"/>
                </w:tcPr>
                <w:p w14:paraId="44358A98">
                  <w:pPr>
                    <w:jc w:val="center"/>
                    <w:rPr>
                      <w:rFonts w:hint="eastAsia" w:ascii="宋体" w:hAnsi="宋体"/>
                      <w:color w:val="auto"/>
                      <w:szCs w:val="21"/>
                    </w:rPr>
                  </w:pPr>
                  <w:r>
                    <w:rPr>
                      <w:rFonts w:hint="eastAsia" w:ascii="宋体" w:hAnsi="宋体"/>
                      <w:color w:val="auto"/>
                      <w:szCs w:val="21"/>
                    </w:rPr>
                    <w:t>扣</w:t>
                  </w:r>
                  <w:r>
                    <w:rPr>
                      <w:rFonts w:ascii="宋体" w:hAnsi="宋体"/>
                      <w:color w:val="auto"/>
                      <w:szCs w:val="21"/>
                    </w:rPr>
                    <w:t>分</w:t>
                  </w:r>
                </w:p>
              </w:tc>
            </w:tr>
            <w:tr w14:paraId="4E75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17" w:type="dxa"/>
                  <w:noWrap w:val="0"/>
                  <w:vAlign w:val="center"/>
                </w:tcPr>
                <w:p w14:paraId="58722896">
                  <w:pPr>
                    <w:spacing w:line="360" w:lineRule="exact"/>
                    <w:jc w:val="center"/>
                    <w:rPr>
                      <w:rFonts w:ascii="宋体" w:hAnsi="宋体"/>
                      <w:color w:val="auto"/>
                      <w:szCs w:val="21"/>
                    </w:rPr>
                  </w:pPr>
                  <w:r>
                    <w:rPr>
                      <w:rFonts w:hint="eastAsia" w:ascii="宋体" w:hAnsi="宋体"/>
                      <w:color w:val="auto"/>
                      <w:szCs w:val="21"/>
                    </w:rPr>
                    <w:t>管理</w:t>
                  </w:r>
                </w:p>
                <w:p w14:paraId="52A123FE">
                  <w:pPr>
                    <w:spacing w:line="360" w:lineRule="exact"/>
                    <w:jc w:val="center"/>
                    <w:rPr>
                      <w:rFonts w:hint="eastAsia" w:ascii="宋体" w:hAnsi="宋体"/>
                      <w:color w:val="auto"/>
                      <w:szCs w:val="21"/>
                    </w:rPr>
                  </w:pPr>
                  <w:r>
                    <w:rPr>
                      <w:rFonts w:hint="eastAsia" w:ascii="宋体" w:hAnsi="宋体"/>
                      <w:color w:val="auto"/>
                      <w:szCs w:val="21"/>
                    </w:rPr>
                    <w:t>20分</w:t>
                  </w:r>
                </w:p>
              </w:tc>
              <w:tc>
                <w:tcPr>
                  <w:tcW w:w="5812" w:type="dxa"/>
                  <w:noWrap w:val="0"/>
                  <w:vAlign w:val="top"/>
                </w:tcPr>
                <w:p w14:paraId="469A6299">
                  <w:pPr>
                    <w:spacing w:line="360" w:lineRule="exact"/>
                    <w:rPr>
                      <w:color w:val="auto"/>
                      <w:szCs w:val="21"/>
                    </w:rPr>
                  </w:pPr>
                  <w:r>
                    <w:rPr>
                      <w:rFonts w:hint="eastAsia" w:ascii="宋体" w:hAnsi="宋体"/>
                      <w:color w:val="auto"/>
                      <w:szCs w:val="21"/>
                    </w:rPr>
                    <w:t>1.</w:t>
                  </w:r>
                  <w:r>
                    <w:rPr>
                      <w:rFonts w:hint="eastAsia"/>
                      <w:color w:val="auto"/>
                      <w:szCs w:val="21"/>
                    </w:rPr>
                    <w:t>加强劳动</w:t>
                  </w:r>
                  <w:r>
                    <w:rPr>
                      <w:color w:val="auto"/>
                      <w:szCs w:val="21"/>
                    </w:rPr>
                    <w:t>纪律管理检查监督</w:t>
                  </w:r>
                  <w:r>
                    <w:rPr>
                      <w:rFonts w:hint="eastAsia"/>
                      <w:color w:val="auto"/>
                      <w:szCs w:val="21"/>
                    </w:rPr>
                    <w:t>护</w:t>
                  </w:r>
                  <w:r>
                    <w:rPr>
                      <w:color w:val="auto"/>
                      <w:szCs w:val="21"/>
                    </w:rPr>
                    <w:t>工工作</w:t>
                  </w:r>
                  <w:r>
                    <w:rPr>
                      <w:rFonts w:hint="eastAsia"/>
                      <w:color w:val="auto"/>
                      <w:szCs w:val="21"/>
                    </w:rPr>
                    <w:t>,</w:t>
                  </w:r>
                  <w:r>
                    <w:rPr>
                      <w:rFonts w:hint="eastAsia" w:ascii="宋体" w:hAnsi="宋体"/>
                      <w:color w:val="auto"/>
                      <w:szCs w:val="21"/>
                    </w:rPr>
                    <w:t>驻</w:t>
                  </w:r>
                  <w:r>
                    <w:rPr>
                      <w:rFonts w:ascii="宋体" w:hAnsi="宋体"/>
                      <w:color w:val="auto"/>
                      <w:szCs w:val="21"/>
                    </w:rPr>
                    <w:t>院</w:t>
                  </w:r>
                  <w:r>
                    <w:rPr>
                      <w:rFonts w:hint="eastAsia" w:ascii="宋体" w:hAnsi="宋体"/>
                      <w:color w:val="auto"/>
                      <w:szCs w:val="21"/>
                    </w:rPr>
                    <w:t>专管人员每日必须轮回巡查不低于3次。</w:t>
                  </w:r>
                </w:p>
                <w:p w14:paraId="7EBCDE54">
                  <w:pPr>
                    <w:spacing w:line="360" w:lineRule="exact"/>
                    <w:rPr>
                      <w:rFonts w:hint="eastAsia"/>
                      <w:color w:val="auto"/>
                      <w:szCs w:val="21"/>
                    </w:rPr>
                  </w:pPr>
                  <w:r>
                    <w:rPr>
                      <w:rFonts w:hint="eastAsia" w:ascii="宋体" w:hAnsi="宋体"/>
                      <w:color w:val="auto"/>
                      <w:szCs w:val="21"/>
                    </w:rPr>
                    <w:t>2.接患者前必须签订聘用护工协议，</w:t>
                  </w:r>
                  <w:r>
                    <w:rPr>
                      <w:rFonts w:ascii="宋体" w:hAnsi="宋体"/>
                      <w:color w:val="auto"/>
                      <w:szCs w:val="21"/>
                    </w:rPr>
                    <w:t>安排合</w:t>
                  </w:r>
                  <w:r>
                    <w:rPr>
                      <w:rFonts w:hint="eastAsia" w:ascii="宋体" w:hAnsi="宋体"/>
                      <w:color w:val="auto"/>
                      <w:szCs w:val="21"/>
                    </w:rPr>
                    <w:t>格</w:t>
                  </w:r>
                  <w:r>
                    <w:rPr>
                      <w:rFonts w:ascii="宋体" w:hAnsi="宋体"/>
                      <w:color w:val="auto"/>
                      <w:szCs w:val="21"/>
                    </w:rPr>
                    <w:t>护工上岗</w:t>
                  </w:r>
                  <w:r>
                    <w:rPr>
                      <w:rFonts w:hint="eastAsia" w:ascii="宋体" w:hAnsi="宋体"/>
                      <w:color w:val="auto"/>
                      <w:szCs w:val="21"/>
                    </w:rPr>
                    <w:t>，并联系科室护士长做好登记。</w:t>
                  </w:r>
                </w:p>
                <w:p w14:paraId="4526E9B2">
                  <w:pPr>
                    <w:spacing w:line="360" w:lineRule="exact"/>
                    <w:rPr>
                      <w:color w:val="auto"/>
                      <w:szCs w:val="21"/>
                    </w:rPr>
                  </w:pPr>
                  <w:r>
                    <w:rPr>
                      <w:rFonts w:hint="eastAsia" w:ascii="宋体" w:hAnsi="宋体"/>
                      <w:color w:val="auto"/>
                      <w:szCs w:val="21"/>
                    </w:rPr>
                    <w:t>3.每年1至2次对护理员进行业务培训和考核，每月召开会议。</w:t>
                  </w:r>
                </w:p>
                <w:p w14:paraId="7BA84B43">
                  <w:pPr>
                    <w:spacing w:line="360" w:lineRule="exact"/>
                    <w:rPr>
                      <w:rFonts w:hint="eastAsia"/>
                      <w:color w:val="auto"/>
                      <w:szCs w:val="21"/>
                    </w:rPr>
                  </w:pPr>
                  <w:r>
                    <w:rPr>
                      <w:rFonts w:hint="eastAsia" w:ascii="宋体" w:hAnsi="宋体"/>
                      <w:color w:val="auto"/>
                      <w:szCs w:val="21"/>
                    </w:rPr>
                    <w:t>4.收费合理，无违规现象。</w:t>
                  </w:r>
                </w:p>
                <w:p w14:paraId="1A5340BF">
                  <w:pPr>
                    <w:spacing w:line="360" w:lineRule="exact"/>
                    <w:rPr>
                      <w:rFonts w:hint="eastAsia"/>
                      <w:color w:val="auto"/>
                      <w:szCs w:val="21"/>
                    </w:rPr>
                  </w:pPr>
                  <w:r>
                    <w:rPr>
                      <w:rFonts w:hint="eastAsia"/>
                      <w:color w:val="auto"/>
                      <w:szCs w:val="21"/>
                    </w:rPr>
                    <w:t>5.做</w:t>
                  </w:r>
                  <w:r>
                    <w:rPr>
                      <w:color w:val="auto"/>
                      <w:szCs w:val="21"/>
                    </w:rPr>
                    <w:t>好护工的思想工作，稳定</w:t>
                  </w:r>
                  <w:r>
                    <w:rPr>
                      <w:rFonts w:hint="eastAsia"/>
                      <w:color w:val="auto"/>
                      <w:szCs w:val="21"/>
                    </w:rPr>
                    <w:t>好</w:t>
                  </w:r>
                  <w:r>
                    <w:rPr>
                      <w:color w:val="auto"/>
                      <w:szCs w:val="21"/>
                    </w:rPr>
                    <w:t>护工情绪</w:t>
                  </w:r>
                  <w:r>
                    <w:rPr>
                      <w:rFonts w:hint="eastAsia"/>
                      <w:color w:val="auto"/>
                      <w:szCs w:val="21"/>
                    </w:rPr>
                    <w:t>，发</w:t>
                  </w:r>
                  <w:r>
                    <w:rPr>
                      <w:color w:val="auto"/>
                      <w:szCs w:val="21"/>
                    </w:rPr>
                    <w:t>现异常动态，应及时处</w:t>
                  </w:r>
                  <w:r>
                    <w:rPr>
                      <w:rFonts w:hint="eastAsia"/>
                      <w:color w:val="auto"/>
                      <w:szCs w:val="21"/>
                    </w:rPr>
                    <w:t>理。</w:t>
                  </w:r>
                </w:p>
                <w:p w14:paraId="3F293728">
                  <w:pPr>
                    <w:spacing w:line="360" w:lineRule="exact"/>
                    <w:rPr>
                      <w:rFonts w:hint="eastAsia"/>
                      <w:color w:val="auto"/>
                      <w:szCs w:val="21"/>
                    </w:rPr>
                  </w:pPr>
                  <w:r>
                    <w:rPr>
                      <w:rFonts w:hint="eastAsia"/>
                      <w:color w:val="auto"/>
                      <w:szCs w:val="21"/>
                    </w:rPr>
                    <w:t>6.每位患者定期完成</w:t>
                  </w:r>
                  <w:r>
                    <w:rPr>
                      <w:color w:val="auto"/>
                      <w:szCs w:val="21"/>
                    </w:rPr>
                    <w:t>满意度调</w:t>
                  </w:r>
                  <w:r>
                    <w:rPr>
                      <w:rFonts w:hint="eastAsia"/>
                      <w:color w:val="auto"/>
                      <w:szCs w:val="21"/>
                    </w:rPr>
                    <w:t>查，</w:t>
                  </w:r>
                  <w:r>
                    <w:rPr>
                      <w:color w:val="auto"/>
                      <w:szCs w:val="21"/>
                    </w:rPr>
                    <w:t>与患</w:t>
                  </w:r>
                  <w:r>
                    <w:rPr>
                      <w:rFonts w:hint="eastAsia"/>
                      <w:color w:val="auto"/>
                      <w:szCs w:val="21"/>
                    </w:rPr>
                    <w:t>者</w:t>
                  </w:r>
                  <w:r>
                    <w:rPr>
                      <w:color w:val="auto"/>
                      <w:szCs w:val="21"/>
                    </w:rPr>
                    <w:t>或家属经常沟通</w:t>
                  </w:r>
                  <w:r>
                    <w:rPr>
                      <w:rFonts w:hint="eastAsia"/>
                      <w:color w:val="auto"/>
                      <w:szCs w:val="21"/>
                    </w:rPr>
                    <w:t>，做</w:t>
                  </w:r>
                  <w:r>
                    <w:rPr>
                      <w:color w:val="auto"/>
                      <w:szCs w:val="21"/>
                    </w:rPr>
                    <w:t>好记录并及时</w:t>
                  </w:r>
                  <w:r>
                    <w:rPr>
                      <w:rFonts w:hint="eastAsia"/>
                      <w:color w:val="auto"/>
                      <w:szCs w:val="21"/>
                    </w:rPr>
                    <w:t>汇总</w:t>
                  </w:r>
                  <w:r>
                    <w:rPr>
                      <w:color w:val="auto"/>
                      <w:szCs w:val="21"/>
                    </w:rPr>
                    <w:t>处理</w:t>
                  </w:r>
                  <w:r>
                    <w:rPr>
                      <w:rFonts w:hint="eastAsia"/>
                      <w:color w:val="auto"/>
                      <w:szCs w:val="21"/>
                    </w:rPr>
                    <w:t>。</w:t>
                  </w:r>
                </w:p>
              </w:tc>
              <w:tc>
                <w:tcPr>
                  <w:tcW w:w="1984" w:type="dxa"/>
                  <w:noWrap w:val="0"/>
                  <w:vAlign w:val="top"/>
                </w:tcPr>
                <w:p w14:paraId="750313D6">
                  <w:pPr>
                    <w:spacing w:line="360" w:lineRule="exact"/>
                    <w:rPr>
                      <w:rFonts w:ascii="宋体" w:hAnsi="宋体"/>
                      <w:color w:val="auto"/>
                      <w:szCs w:val="21"/>
                    </w:rPr>
                  </w:pPr>
                  <w:r>
                    <w:rPr>
                      <w:rFonts w:hint="eastAsia" w:ascii="宋体" w:hAnsi="宋体"/>
                      <w:color w:val="auto"/>
                      <w:szCs w:val="21"/>
                    </w:rPr>
                    <w:t>现场检查一项不符合扣1分</w:t>
                  </w:r>
                </w:p>
                <w:p w14:paraId="554B8994">
                  <w:pPr>
                    <w:spacing w:line="360" w:lineRule="exact"/>
                    <w:rPr>
                      <w:rFonts w:hint="eastAsia" w:ascii="宋体" w:hAnsi="宋体"/>
                      <w:color w:val="auto"/>
                      <w:szCs w:val="21"/>
                    </w:rPr>
                  </w:pPr>
                  <w:r>
                    <w:rPr>
                      <w:rFonts w:hint="eastAsia" w:ascii="宋体" w:hAnsi="宋体"/>
                      <w:color w:val="auto"/>
                      <w:szCs w:val="21"/>
                    </w:rPr>
                    <w:t>查记录，无不得分，未</w:t>
                  </w:r>
                  <w:r>
                    <w:rPr>
                      <w:rFonts w:ascii="宋体" w:hAnsi="宋体"/>
                      <w:color w:val="auto"/>
                      <w:szCs w:val="21"/>
                    </w:rPr>
                    <w:t>及时发放工资及</w:t>
                  </w:r>
                  <w:r>
                    <w:rPr>
                      <w:rFonts w:hint="eastAsia" w:ascii="宋体" w:hAnsi="宋体"/>
                      <w:color w:val="auto"/>
                      <w:szCs w:val="21"/>
                    </w:rPr>
                    <w:t>乱收费扣10分</w:t>
                  </w:r>
                </w:p>
                <w:p w14:paraId="4FF66720">
                  <w:pPr>
                    <w:spacing w:line="360" w:lineRule="exact"/>
                    <w:rPr>
                      <w:rFonts w:hint="eastAsia" w:ascii="宋体" w:hAnsi="宋体"/>
                      <w:color w:val="auto"/>
                      <w:szCs w:val="21"/>
                    </w:rPr>
                  </w:pPr>
                </w:p>
              </w:tc>
              <w:tc>
                <w:tcPr>
                  <w:tcW w:w="855" w:type="dxa"/>
                  <w:noWrap w:val="0"/>
                  <w:vAlign w:val="top"/>
                </w:tcPr>
                <w:p w14:paraId="302EB378">
                  <w:pPr>
                    <w:spacing w:line="360" w:lineRule="exact"/>
                    <w:rPr>
                      <w:rFonts w:hint="eastAsia" w:ascii="宋体" w:hAnsi="宋体"/>
                      <w:color w:val="auto"/>
                      <w:szCs w:val="21"/>
                    </w:rPr>
                  </w:pPr>
                </w:p>
              </w:tc>
            </w:tr>
            <w:tr w14:paraId="6A5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4E7299">
                  <w:pPr>
                    <w:spacing w:line="360" w:lineRule="exact"/>
                    <w:jc w:val="center"/>
                    <w:rPr>
                      <w:rFonts w:ascii="宋体" w:hAnsi="宋体"/>
                      <w:color w:val="auto"/>
                      <w:szCs w:val="21"/>
                    </w:rPr>
                  </w:pPr>
                  <w:r>
                    <w:rPr>
                      <w:rFonts w:hint="eastAsia" w:ascii="宋体" w:hAnsi="宋体"/>
                      <w:color w:val="auto"/>
                      <w:szCs w:val="21"/>
                    </w:rPr>
                    <w:t>仪表</w:t>
                  </w:r>
                </w:p>
                <w:p w14:paraId="704EE645">
                  <w:pPr>
                    <w:spacing w:line="360" w:lineRule="exact"/>
                    <w:jc w:val="center"/>
                    <w:rPr>
                      <w:rFonts w:hint="eastAsia" w:ascii="宋体" w:hAnsi="宋体"/>
                      <w:color w:val="auto"/>
                      <w:szCs w:val="21"/>
                    </w:rPr>
                  </w:pPr>
                  <w:r>
                    <w:rPr>
                      <w:rFonts w:hint="eastAsia" w:ascii="宋体" w:hAnsi="宋体"/>
                      <w:color w:val="auto"/>
                      <w:szCs w:val="21"/>
                    </w:rPr>
                    <w:t>5分</w:t>
                  </w:r>
                </w:p>
              </w:tc>
              <w:tc>
                <w:tcPr>
                  <w:tcW w:w="5812" w:type="dxa"/>
                  <w:noWrap w:val="0"/>
                  <w:vAlign w:val="top"/>
                </w:tcPr>
                <w:p w14:paraId="577DDF33">
                  <w:pPr>
                    <w:spacing w:line="320" w:lineRule="exact"/>
                    <w:rPr>
                      <w:rFonts w:hint="eastAsia" w:ascii="宋体" w:hAnsi="宋体"/>
                      <w:color w:val="auto"/>
                      <w:szCs w:val="21"/>
                    </w:rPr>
                  </w:pPr>
                  <w:r>
                    <w:rPr>
                      <w:rFonts w:hint="eastAsia" w:ascii="宋体" w:hAnsi="宋体"/>
                      <w:color w:val="auto"/>
                      <w:szCs w:val="21"/>
                    </w:rPr>
                    <w:t>按规定统一着装，仪表端庄；不穿响底鞋拖鞋高</w:t>
                  </w:r>
                  <w:r>
                    <w:rPr>
                      <w:rFonts w:ascii="宋体" w:hAnsi="宋体"/>
                      <w:color w:val="auto"/>
                      <w:szCs w:val="21"/>
                    </w:rPr>
                    <w:t>跟</w:t>
                  </w:r>
                  <w:r>
                    <w:rPr>
                      <w:rFonts w:hint="eastAsia" w:ascii="宋体" w:hAnsi="宋体"/>
                      <w:color w:val="auto"/>
                      <w:szCs w:val="21"/>
                    </w:rPr>
                    <w:t>鞋；不留长指甲；女护工上岗时不准披散发，男护工不准留长发。</w:t>
                  </w:r>
                </w:p>
              </w:tc>
              <w:tc>
                <w:tcPr>
                  <w:tcW w:w="1984" w:type="dxa"/>
                  <w:noWrap w:val="0"/>
                  <w:vAlign w:val="top"/>
                </w:tcPr>
                <w:p w14:paraId="3ABC8519">
                  <w:pPr>
                    <w:spacing w:line="360" w:lineRule="exact"/>
                    <w:rPr>
                      <w:rFonts w:hint="eastAsia" w:ascii="宋体" w:hAnsi="宋体"/>
                      <w:color w:val="auto"/>
                      <w:szCs w:val="21"/>
                    </w:rPr>
                  </w:pPr>
                  <w:r>
                    <w:rPr>
                      <w:rFonts w:hint="eastAsia" w:ascii="宋体" w:hAnsi="宋体"/>
                      <w:color w:val="auto"/>
                      <w:szCs w:val="21"/>
                    </w:rPr>
                    <w:t>现场检查一项不符合扣1分</w:t>
                  </w:r>
                </w:p>
              </w:tc>
              <w:tc>
                <w:tcPr>
                  <w:tcW w:w="855" w:type="dxa"/>
                  <w:noWrap w:val="0"/>
                  <w:vAlign w:val="top"/>
                </w:tcPr>
                <w:p w14:paraId="00813864">
                  <w:pPr>
                    <w:spacing w:line="360" w:lineRule="exact"/>
                    <w:rPr>
                      <w:rFonts w:hint="eastAsia" w:ascii="宋体" w:hAnsi="宋体"/>
                      <w:color w:val="auto"/>
                      <w:szCs w:val="21"/>
                    </w:rPr>
                  </w:pPr>
                </w:p>
              </w:tc>
            </w:tr>
            <w:tr w14:paraId="55B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7A8DD8">
                  <w:pPr>
                    <w:spacing w:line="360" w:lineRule="exact"/>
                    <w:jc w:val="center"/>
                    <w:rPr>
                      <w:rFonts w:ascii="宋体" w:hAnsi="宋体"/>
                      <w:color w:val="auto"/>
                      <w:szCs w:val="21"/>
                    </w:rPr>
                  </w:pPr>
                  <w:r>
                    <w:rPr>
                      <w:rFonts w:hint="eastAsia" w:ascii="宋体" w:hAnsi="宋体"/>
                      <w:color w:val="auto"/>
                      <w:szCs w:val="21"/>
                    </w:rPr>
                    <w:t>病区</w:t>
                  </w:r>
                </w:p>
                <w:p w14:paraId="3A07AD3F">
                  <w:pPr>
                    <w:spacing w:line="360" w:lineRule="exact"/>
                    <w:jc w:val="center"/>
                    <w:rPr>
                      <w:rFonts w:hint="eastAsia" w:ascii="宋体" w:hAnsi="宋体"/>
                      <w:color w:val="auto"/>
                      <w:szCs w:val="21"/>
                    </w:rPr>
                  </w:pPr>
                  <w:r>
                    <w:rPr>
                      <w:rFonts w:hint="eastAsia" w:ascii="宋体" w:hAnsi="宋体"/>
                      <w:color w:val="auto"/>
                      <w:szCs w:val="21"/>
                    </w:rPr>
                    <w:t>5分</w:t>
                  </w:r>
                </w:p>
              </w:tc>
              <w:tc>
                <w:tcPr>
                  <w:tcW w:w="5812" w:type="dxa"/>
                  <w:noWrap w:val="0"/>
                  <w:vAlign w:val="top"/>
                </w:tcPr>
                <w:p w14:paraId="4BAFCA70">
                  <w:pPr>
                    <w:spacing w:line="360" w:lineRule="exact"/>
                    <w:rPr>
                      <w:rFonts w:hint="eastAsia" w:ascii="宋体" w:hAnsi="宋体"/>
                      <w:color w:val="auto"/>
                      <w:szCs w:val="21"/>
                    </w:rPr>
                  </w:pPr>
                  <w:r>
                    <w:rPr>
                      <w:rFonts w:hint="eastAsia" w:ascii="宋体" w:hAnsi="宋体"/>
                      <w:color w:val="auto"/>
                      <w:szCs w:val="21"/>
                    </w:rPr>
                    <w:t>病房整洁，床单整洁干燥平整，无头发、无渣屑，无堆放杂物</w:t>
                  </w:r>
                </w:p>
              </w:tc>
              <w:tc>
                <w:tcPr>
                  <w:tcW w:w="1984" w:type="dxa"/>
                  <w:noWrap w:val="0"/>
                  <w:vAlign w:val="top"/>
                </w:tcPr>
                <w:p w14:paraId="0C4ECC5F">
                  <w:pPr>
                    <w:spacing w:line="360" w:lineRule="exact"/>
                    <w:rPr>
                      <w:rFonts w:hint="eastAsia" w:ascii="宋体" w:hAnsi="宋体"/>
                      <w:color w:val="auto"/>
                      <w:szCs w:val="21"/>
                    </w:rPr>
                  </w:pPr>
                  <w:r>
                    <w:rPr>
                      <w:rFonts w:hint="eastAsia" w:ascii="宋体" w:hAnsi="宋体"/>
                      <w:color w:val="auto"/>
                      <w:szCs w:val="21"/>
                    </w:rPr>
                    <w:t>现场检查一项不符合扣1分</w:t>
                  </w:r>
                </w:p>
              </w:tc>
              <w:tc>
                <w:tcPr>
                  <w:tcW w:w="855" w:type="dxa"/>
                  <w:noWrap w:val="0"/>
                  <w:vAlign w:val="top"/>
                </w:tcPr>
                <w:p w14:paraId="1F532856">
                  <w:pPr>
                    <w:spacing w:line="360" w:lineRule="exact"/>
                    <w:rPr>
                      <w:rFonts w:hint="eastAsia" w:ascii="宋体" w:hAnsi="宋体"/>
                      <w:color w:val="auto"/>
                      <w:szCs w:val="21"/>
                    </w:rPr>
                  </w:pPr>
                </w:p>
              </w:tc>
            </w:tr>
            <w:tr w14:paraId="32E3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71EA3FC">
                  <w:pPr>
                    <w:spacing w:line="360" w:lineRule="exact"/>
                    <w:jc w:val="center"/>
                    <w:rPr>
                      <w:rFonts w:hint="eastAsia" w:ascii="宋体" w:hAnsi="宋体"/>
                      <w:color w:val="auto"/>
                      <w:szCs w:val="21"/>
                    </w:rPr>
                  </w:pPr>
                  <w:r>
                    <w:rPr>
                      <w:rFonts w:hint="eastAsia" w:ascii="宋体" w:hAnsi="宋体"/>
                      <w:color w:val="auto"/>
                      <w:szCs w:val="21"/>
                    </w:rPr>
                    <w:t>患者</w:t>
                  </w:r>
                </w:p>
                <w:p w14:paraId="25EEDE11">
                  <w:pPr>
                    <w:spacing w:line="360" w:lineRule="exact"/>
                    <w:jc w:val="center"/>
                    <w:rPr>
                      <w:rFonts w:ascii="宋体" w:hAnsi="宋体"/>
                      <w:color w:val="auto"/>
                      <w:szCs w:val="21"/>
                    </w:rPr>
                  </w:pPr>
                  <w:r>
                    <w:rPr>
                      <w:rFonts w:hint="eastAsia" w:ascii="宋体" w:hAnsi="宋体"/>
                      <w:color w:val="auto"/>
                      <w:szCs w:val="21"/>
                    </w:rPr>
                    <w:t>卫生</w:t>
                  </w:r>
                </w:p>
                <w:p w14:paraId="0F5525A0">
                  <w:pPr>
                    <w:spacing w:line="360" w:lineRule="exact"/>
                    <w:jc w:val="center"/>
                    <w:rPr>
                      <w:rFonts w:hint="eastAsia" w:ascii="宋体" w:hAnsi="宋体"/>
                      <w:color w:val="auto"/>
                      <w:szCs w:val="21"/>
                    </w:rPr>
                  </w:pPr>
                  <w:r>
                    <w:rPr>
                      <w:rFonts w:hint="eastAsia" w:ascii="宋体" w:hAnsi="宋体"/>
                      <w:color w:val="auto"/>
                      <w:szCs w:val="21"/>
                    </w:rPr>
                    <w:t>30分</w:t>
                  </w:r>
                </w:p>
              </w:tc>
              <w:tc>
                <w:tcPr>
                  <w:tcW w:w="5812" w:type="dxa"/>
                  <w:noWrap w:val="0"/>
                  <w:vAlign w:val="top"/>
                </w:tcPr>
                <w:p w14:paraId="3C4A544C">
                  <w:pPr>
                    <w:autoSpaceDE w:val="0"/>
                    <w:spacing w:line="320" w:lineRule="exact"/>
                    <w:rPr>
                      <w:rFonts w:ascii="宋体" w:hAnsi="宋体"/>
                      <w:color w:val="auto"/>
                      <w:szCs w:val="21"/>
                    </w:rPr>
                  </w:pPr>
                  <w:r>
                    <w:rPr>
                      <w:rFonts w:hint="eastAsia" w:ascii="宋体" w:hAnsi="宋体"/>
                      <w:color w:val="auto"/>
                      <w:szCs w:val="21"/>
                    </w:rPr>
                    <w:t>1.患者面部清洁，要求无污垢。</w:t>
                  </w:r>
                </w:p>
                <w:p w14:paraId="6C7DF4E5">
                  <w:pPr>
                    <w:autoSpaceDE w:val="0"/>
                    <w:spacing w:line="320" w:lineRule="exact"/>
                    <w:rPr>
                      <w:rFonts w:hint="eastAsia" w:ascii="宋体" w:hAnsi="宋体"/>
                      <w:color w:val="auto"/>
                      <w:szCs w:val="21"/>
                    </w:rPr>
                  </w:pPr>
                  <w:r>
                    <w:rPr>
                      <w:rFonts w:hint="eastAsia" w:ascii="宋体" w:hAnsi="宋体"/>
                      <w:color w:val="auto"/>
                      <w:szCs w:val="21"/>
                    </w:rPr>
                    <w:t>2.患者口腔清洁，按病情需要刷牙或清洁口腔，要求口腔无积痰、无食物残渣、口唇口角清洁，无异味。</w:t>
                  </w:r>
                </w:p>
                <w:p w14:paraId="19437833">
                  <w:pPr>
                    <w:autoSpaceDE w:val="0"/>
                    <w:spacing w:line="320" w:lineRule="exact"/>
                    <w:rPr>
                      <w:rFonts w:hint="eastAsia" w:ascii="宋体" w:hAnsi="宋体"/>
                      <w:color w:val="auto"/>
                      <w:szCs w:val="21"/>
                    </w:rPr>
                  </w:pPr>
                  <w:r>
                    <w:rPr>
                      <w:rFonts w:hint="eastAsia" w:ascii="宋体" w:hAnsi="宋体"/>
                      <w:color w:val="auto"/>
                      <w:szCs w:val="21"/>
                    </w:rPr>
                    <w:t>3.头发整洁，每周清洗或遵医嘱。</w:t>
                  </w:r>
                </w:p>
                <w:p w14:paraId="090BD6EA">
                  <w:pPr>
                    <w:autoSpaceDE w:val="0"/>
                    <w:spacing w:line="320" w:lineRule="exact"/>
                    <w:rPr>
                      <w:rFonts w:hint="eastAsia" w:ascii="宋体" w:hAnsi="宋体"/>
                      <w:color w:val="auto"/>
                      <w:szCs w:val="21"/>
                    </w:rPr>
                  </w:pPr>
                  <w:r>
                    <w:rPr>
                      <w:rFonts w:hint="eastAsia" w:ascii="宋体" w:hAnsi="宋体"/>
                      <w:color w:val="auto"/>
                      <w:szCs w:val="21"/>
                    </w:rPr>
                    <w:t>4.手足清洁无污垢，无存积厚皮，指（趾）甲较短无污垢。</w:t>
                  </w:r>
                </w:p>
                <w:p w14:paraId="26E59D74">
                  <w:pPr>
                    <w:autoSpaceDE w:val="0"/>
                    <w:spacing w:line="320" w:lineRule="exact"/>
                    <w:rPr>
                      <w:rFonts w:hint="eastAsia" w:ascii="宋体" w:hAnsi="宋体"/>
                      <w:color w:val="auto"/>
                      <w:szCs w:val="21"/>
                    </w:rPr>
                  </w:pPr>
                  <w:r>
                    <w:rPr>
                      <w:rFonts w:hint="eastAsia" w:ascii="宋体" w:hAnsi="宋体"/>
                      <w:color w:val="auto"/>
                      <w:szCs w:val="21"/>
                    </w:rPr>
                    <w:t>5.皮肤清洁，夏天每日洗（擦）澡</w:t>
                  </w:r>
                  <w:r>
                    <w:rPr>
                      <w:rFonts w:hint="eastAsia" w:ascii="宋体" w:hAnsi="宋体"/>
                      <w:color w:val="auto"/>
                      <w:szCs w:val="21"/>
                      <w:lang w:eastAsia="zh-CN"/>
                    </w:rPr>
                    <w:t>，</w:t>
                  </w:r>
                  <w:r>
                    <w:rPr>
                      <w:rFonts w:hint="eastAsia" w:ascii="宋体" w:hAnsi="宋体"/>
                      <w:color w:val="auto"/>
                      <w:szCs w:val="21"/>
                    </w:rPr>
                    <w:t>冬天每周洗（擦）澡，按时翻身和拍背，要求无受压痕迹，背部及骨突出部位无压疮。</w:t>
                  </w:r>
                </w:p>
                <w:p w14:paraId="3B1FB432">
                  <w:pPr>
                    <w:autoSpaceDE w:val="0"/>
                    <w:spacing w:line="320" w:lineRule="exact"/>
                    <w:rPr>
                      <w:rFonts w:hint="eastAsia" w:ascii="宋体" w:hAnsi="宋体"/>
                      <w:color w:val="auto"/>
                      <w:szCs w:val="21"/>
                    </w:rPr>
                  </w:pPr>
                  <w:r>
                    <w:rPr>
                      <w:rFonts w:hint="eastAsia" w:ascii="宋体" w:hAnsi="宋体"/>
                      <w:color w:val="auto"/>
                      <w:szCs w:val="21"/>
                    </w:rPr>
                    <w:t>6.会阴清洁，每日清洗。及时为</w:t>
                  </w:r>
                  <w:r>
                    <w:rPr>
                      <w:rFonts w:hint="eastAsia" w:ascii="宋体" w:hAnsi="宋体"/>
                      <w:color w:val="auto"/>
                      <w:szCs w:val="21"/>
                      <w:lang w:eastAsia="zh-CN"/>
                    </w:rPr>
                    <w:t>患者</w:t>
                  </w:r>
                  <w:r>
                    <w:rPr>
                      <w:rFonts w:hint="eastAsia" w:ascii="宋体" w:hAnsi="宋体"/>
                      <w:color w:val="auto"/>
                      <w:szCs w:val="21"/>
                    </w:rPr>
                    <w:t>倒</w:t>
                  </w:r>
                  <w:r>
                    <w:rPr>
                      <w:rFonts w:hint="eastAsia" w:ascii="宋体" w:hAnsi="宋体"/>
                      <w:color w:val="auto"/>
                      <w:szCs w:val="21"/>
                      <w:lang w:eastAsia="zh-CN"/>
                    </w:rPr>
                    <w:t>污物</w:t>
                  </w:r>
                  <w:r>
                    <w:rPr>
                      <w:rFonts w:hint="eastAsia" w:ascii="宋体" w:hAnsi="宋体"/>
                      <w:color w:val="auto"/>
                      <w:szCs w:val="21"/>
                    </w:rPr>
                    <w:t>等</w:t>
                  </w:r>
                </w:p>
                <w:p w14:paraId="548743E3">
                  <w:pPr>
                    <w:spacing w:line="320" w:lineRule="exact"/>
                    <w:rPr>
                      <w:rFonts w:hint="eastAsia" w:ascii="宋体" w:hAnsi="宋体"/>
                      <w:color w:val="auto"/>
                      <w:szCs w:val="21"/>
                    </w:rPr>
                  </w:pPr>
                  <w:r>
                    <w:rPr>
                      <w:rFonts w:hint="eastAsia" w:ascii="宋体" w:hAnsi="宋体"/>
                      <w:color w:val="auto"/>
                      <w:szCs w:val="21"/>
                    </w:rPr>
                    <w:t>7.及时为患者更换</w:t>
                  </w:r>
                  <w:r>
                    <w:rPr>
                      <w:rFonts w:hint="eastAsia" w:ascii="宋体" w:hAnsi="宋体"/>
                      <w:color w:val="auto"/>
                      <w:szCs w:val="21"/>
                      <w:lang w:eastAsia="zh-CN"/>
                    </w:rPr>
                    <w:t>衣服</w:t>
                  </w:r>
                  <w:r>
                    <w:rPr>
                      <w:rFonts w:hint="eastAsia" w:ascii="宋体" w:hAnsi="宋体"/>
                      <w:color w:val="auto"/>
                      <w:szCs w:val="21"/>
                    </w:rPr>
                    <w:t>。</w:t>
                  </w:r>
                </w:p>
              </w:tc>
              <w:tc>
                <w:tcPr>
                  <w:tcW w:w="1984" w:type="dxa"/>
                  <w:noWrap w:val="0"/>
                  <w:vAlign w:val="top"/>
                </w:tcPr>
                <w:p w14:paraId="0626122A">
                  <w:pPr>
                    <w:spacing w:line="360" w:lineRule="exact"/>
                    <w:rPr>
                      <w:rFonts w:hint="eastAsia" w:ascii="宋体" w:hAnsi="宋体" w:eastAsia="宋体"/>
                      <w:color w:val="auto"/>
                      <w:szCs w:val="21"/>
                      <w:lang w:eastAsia="zh-CN"/>
                    </w:rPr>
                  </w:pPr>
                  <w:r>
                    <w:rPr>
                      <w:rFonts w:hint="eastAsia" w:ascii="宋体" w:hAnsi="宋体"/>
                      <w:color w:val="auto"/>
                      <w:szCs w:val="21"/>
                    </w:rPr>
                    <w:t>1、现场查看，一处不符合要求扣0.5</w:t>
                  </w:r>
                  <w:r>
                    <w:rPr>
                      <w:rFonts w:hint="eastAsia" w:ascii="宋体" w:hAnsi="宋体"/>
                      <w:color w:val="auto"/>
                      <w:szCs w:val="21"/>
                      <w:lang w:eastAsia="zh-CN"/>
                    </w:rPr>
                    <w:t>分</w:t>
                  </w:r>
                </w:p>
                <w:p w14:paraId="45B6BB8C">
                  <w:pPr>
                    <w:rPr>
                      <w:color w:val="auto"/>
                      <w:szCs w:val="21"/>
                    </w:rPr>
                  </w:pPr>
                  <w:r>
                    <w:rPr>
                      <w:rFonts w:hint="eastAsia" w:ascii="宋体" w:hAnsi="宋体"/>
                      <w:color w:val="auto"/>
                      <w:szCs w:val="21"/>
                    </w:rPr>
                    <w:t>2、护理病人过程中，</w:t>
                  </w:r>
                  <w:r>
                    <w:rPr>
                      <w:rFonts w:hint="eastAsia" w:ascii="宋体" w:hAnsi="宋体"/>
                      <w:color w:val="auto"/>
                      <w:szCs w:val="21"/>
                      <w:lang w:eastAsia="zh-CN"/>
                    </w:rPr>
                    <w:t>未尽责</w:t>
                  </w:r>
                  <w:r>
                    <w:rPr>
                      <w:rFonts w:hint="eastAsia" w:ascii="宋体" w:hAnsi="宋体"/>
                      <w:color w:val="auto"/>
                      <w:szCs w:val="21"/>
                    </w:rPr>
                    <w:t>发生</w:t>
                  </w:r>
                  <w:r>
                    <w:rPr>
                      <w:rFonts w:hint="eastAsia" w:ascii="宋体" w:hAnsi="宋体"/>
                      <w:color w:val="auto"/>
                      <w:szCs w:val="21"/>
                      <w:lang w:eastAsia="zh-CN"/>
                    </w:rPr>
                    <w:t>压力性损失</w:t>
                  </w:r>
                  <w:r>
                    <w:rPr>
                      <w:rFonts w:hint="eastAsia" w:ascii="宋体" w:hAnsi="宋体"/>
                      <w:color w:val="auto"/>
                      <w:szCs w:val="21"/>
                    </w:rPr>
                    <w:t>扣10分</w:t>
                  </w:r>
                </w:p>
                <w:p w14:paraId="18E7274A">
                  <w:pPr>
                    <w:spacing w:line="360" w:lineRule="exact"/>
                    <w:rPr>
                      <w:rFonts w:hint="eastAsia" w:ascii="宋体" w:hAnsi="宋体"/>
                      <w:color w:val="auto"/>
                      <w:szCs w:val="21"/>
                    </w:rPr>
                  </w:pPr>
                </w:p>
              </w:tc>
              <w:tc>
                <w:tcPr>
                  <w:tcW w:w="855" w:type="dxa"/>
                  <w:noWrap w:val="0"/>
                  <w:vAlign w:val="top"/>
                </w:tcPr>
                <w:p w14:paraId="7FC0C1C5">
                  <w:pPr>
                    <w:spacing w:line="360" w:lineRule="exact"/>
                    <w:rPr>
                      <w:rFonts w:hint="eastAsia" w:ascii="宋体" w:hAnsi="宋体"/>
                      <w:color w:val="auto"/>
                      <w:szCs w:val="21"/>
                    </w:rPr>
                  </w:pPr>
                </w:p>
              </w:tc>
            </w:tr>
            <w:tr w14:paraId="30B5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59DBD2">
                  <w:pPr>
                    <w:spacing w:line="360" w:lineRule="exact"/>
                    <w:jc w:val="center"/>
                    <w:rPr>
                      <w:rFonts w:hint="eastAsia" w:ascii="宋体" w:hAnsi="宋体"/>
                      <w:color w:val="auto"/>
                      <w:szCs w:val="21"/>
                    </w:rPr>
                  </w:pPr>
                  <w:r>
                    <w:rPr>
                      <w:rFonts w:hint="eastAsia" w:ascii="宋体" w:hAnsi="宋体"/>
                      <w:color w:val="auto"/>
                      <w:szCs w:val="21"/>
                    </w:rPr>
                    <w:t>患者</w:t>
                  </w:r>
                </w:p>
                <w:p w14:paraId="5542C9DA">
                  <w:pPr>
                    <w:spacing w:line="360" w:lineRule="exact"/>
                    <w:jc w:val="center"/>
                    <w:rPr>
                      <w:rFonts w:ascii="宋体" w:hAnsi="宋体"/>
                      <w:color w:val="auto"/>
                      <w:szCs w:val="21"/>
                    </w:rPr>
                  </w:pPr>
                  <w:r>
                    <w:rPr>
                      <w:rFonts w:hint="eastAsia" w:ascii="宋体" w:hAnsi="宋体"/>
                      <w:color w:val="auto"/>
                      <w:szCs w:val="21"/>
                    </w:rPr>
                    <w:t>管理</w:t>
                  </w:r>
                </w:p>
                <w:p w14:paraId="71CD63C8">
                  <w:pPr>
                    <w:spacing w:line="360" w:lineRule="exact"/>
                    <w:jc w:val="center"/>
                    <w:rPr>
                      <w:rFonts w:hint="eastAsia" w:ascii="宋体" w:hAnsi="宋体"/>
                      <w:color w:val="auto"/>
                      <w:szCs w:val="21"/>
                    </w:rPr>
                  </w:pPr>
                  <w:r>
                    <w:rPr>
                      <w:rFonts w:hint="eastAsia" w:ascii="宋体" w:hAnsi="宋体"/>
                      <w:color w:val="auto"/>
                      <w:szCs w:val="21"/>
                    </w:rPr>
                    <w:t>10分</w:t>
                  </w:r>
                </w:p>
              </w:tc>
              <w:tc>
                <w:tcPr>
                  <w:tcW w:w="5812" w:type="dxa"/>
                  <w:noWrap w:val="0"/>
                  <w:vAlign w:val="top"/>
                </w:tcPr>
                <w:p w14:paraId="11232F17">
                  <w:pPr>
                    <w:spacing w:line="360" w:lineRule="exact"/>
                    <w:rPr>
                      <w:rFonts w:hint="eastAsia" w:ascii="宋体" w:hAnsi="宋体"/>
                      <w:color w:val="auto"/>
                      <w:szCs w:val="21"/>
                    </w:rPr>
                  </w:pPr>
                  <w:r>
                    <w:rPr>
                      <w:rFonts w:hint="eastAsia" w:ascii="宋体" w:hAnsi="宋体"/>
                      <w:color w:val="auto"/>
                      <w:szCs w:val="21"/>
                    </w:rPr>
                    <w:t>1.知晓患者照</w:t>
                  </w:r>
                  <w:r>
                    <w:rPr>
                      <w:rFonts w:ascii="宋体" w:hAnsi="宋体"/>
                      <w:color w:val="auto"/>
                      <w:szCs w:val="21"/>
                    </w:rPr>
                    <w:t>护</w:t>
                  </w:r>
                  <w:r>
                    <w:rPr>
                      <w:rFonts w:hint="eastAsia" w:ascii="宋体" w:hAnsi="宋体"/>
                      <w:color w:val="auto"/>
                      <w:szCs w:val="21"/>
                    </w:rPr>
                    <w:t>的要求，能及时</w:t>
                  </w:r>
                  <w:r>
                    <w:rPr>
                      <w:rFonts w:ascii="宋体" w:hAnsi="宋体"/>
                      <w:color w:val="auto"/>
                      <w:szCs w:val="21"/>
                    </w:rPr>
                    <w:t>给予正常的照护</w:t>
                  </w:r>
                  <w:r>
                    <w:rPr>
                      <w:rFonts w:hint="eastAsia" w:ascii="宋体" w:hAnsi="宋体"/>
                      <w:color w:val="auto"/>
                      <w:szCs w:val="21"/>
                    </w:rPr>
                    <w:t>。</w:t>
                  </w:r>
                </w:p>
                <w:p w14:paraId="1589CCFA">
                  <w:pPr>
                    <w:spacing w:line="36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规范照</w:t>
                  </w:r>
                  <w:r>
                    <w:rPr>
                      <w:rFonts w:ascii="宋体" w:hAnsi="宋体"/>
                      <w:color w:val="auto"/>
                      <w:szCs w:val="21"/>
                    </w:rPr>
                    <w:t>护服务行为，</w:t>
                  </w:r>
                  <w:r>
                    <w:rPr>
                      <w:rFonts w:hint="eastAsia" w:ascii="宋体" w:hAnsi="宋体"/>
                      <w:color w:val="auto"/>
                      <w:szCs w:val="21"/>
                    </w:rPr>
                    <w:t>发生</w:t>
                  </w:r>
                  <w:r>
                    <w:rPr>
                      <w:rFonts w:ascii="宋体" w:hAnsi="宋体"/>
                      <w:color w:val="auto"/>
                      <w:szCs w:val="21"/>
                    </w:rPr>
                    <w:t>异常</w:t>
                  </w:r>
                  <w:r>
                    <w:rPr>
                      <w:rFonts w:hint="eastAsia" w:ascii="宋体" w:hAnsi="宋体"/>
                      <w:color w:val="auto"/>
                      <w:szCs w:val="21"/>
                    </w:rPr>
                    <w:t>，</w:t>
                  </w:r>
                  <w:r>
                    <w:rPr>
                      <w:rFonts w:ascii="宋体" w:hAnsi="宋体"/>
                      <w:color w:val="auto"/>
                      <w:szCs w:val="21"/>
                    </w:rPr>
                    <w:t>及时报告及时处理</w:t>
                  </w:r>
                  <w:r>
                    <w:rPr>
                      <w:rFonts w:hint="eastAsia" w:ascii="宋体" w:hAnsi="宋体"/>
                      <w:color w:val="auto"/>
                      <w:szCs w:val="21"/>
                    </w:rPr>
                    <w:t>。</w:t>
                  </w:r>
                </w:p>
              </w:tc>
              <w:tc>
                <w:tcPr>
                  <w:tcW w:w="1984" w:type="dxa"/>
                  <w:noWrap w:val="0"/>
                  <w:vAlign w:val="top"/>
                </w:tcPr>
                <w:p w14:paraId="64985ACB">
                  <w:pPr>
                    <w:spacing w:line="320" w:lineRule="exact"/>
                    <w:rPr>
                      <w:rFonts w:hint="eastAsia" w:ascii="宋体" w:hAnsi="宋体"/>
                      <w:color w:val="auto"/>
                      <w:szCs w:val="21"/>
                    </w:rPr>
                  </w:pPr>
                  <w:r>
                    <w:rPr>
                      <w:rFonts w:hint="eastAsia" w:ascii="宋体" w:hAnsi="宋体"/>
                      <w:color w:val="auto"/>
                      <w:szCs w:val="21"/>
                    </w:rPr>
                    <w:t>现场查看，不符合要求扣0.5分，护工不知晓照护</w:t>
                  </w:r>
                  <w:r>
                    <w:rPr>
                      <w:rFonts w:ascii="宋体" w:hAnsi="宋体"/>
                      <w:color w:val="auto"/>
                      <w:szCs w:val="21"/>
                    </w:rPr>
                    <w:t>要求</w:t>
                  </w:r>
                  <w:r>
                    <w:rPr>
                      <w:rFonts w:hint="eastAsia" w:ascii="宋体" w:hAnsi="宋体"/>
                      <w:color w:val="auto"/>
                      <w:szCs w:val="21"/>
                    </w:rPr>
                    <w:t>扣2分，因</w:t>
                  </w:r>
                  <w:r>
                    <w:rPr>
                      <w:rFonts w:hint="eastAsia" w:ascii="宋体" w:hAnsi="宋体"/>
                      <w:color w:val="auto"/>
                      <w:szCs w:val="21"/>
                      <w:lang w:eastAsia="zh-CN"/>
                    </w:rPr>
                    <w:t>未</w:t>
                  </w:r>
                  <w:r>
                    <w:rPr>
                      <w:rFonts w:ascii="宋体" w:hAnsi="宋体"/>
                      <w:color w:val="auto"/>
                      <w:szCs w:val="21"/>
                    </w:rPr>
                    <w:t>尽责</w:t>
                  </w:r>
                  <w:r>
                    <w:rPr>
                      <w:rFonts w:hint="eastAsia" w:ascii="宋体" w:hAnsi="宋体"/>
                      <w:color w:val="auto"/>
                      <w:szCs w:val="21"/>
                    </w:rPr>
                    <w:t>致坠床、跌</w:t>
                  </w:r>
                  <w:r>
                    <w:rPr>
                      <w:rFonts w:ascii="宋体" w:hAnsi="宋体"/>
                      <w:color w:val="auto"/>
                      <w:szCs w:val="21"/>
                    </w:rPr>
                    <w:t>倒</w:t>
                  </w:r>
                  <w:r>
                    <w:rPr>
                      <w:rFonts w:hint="eastAsia" w:ascii="宋体" w:hAnsi="宋体"/>
                      <w:color w:val="auto"/>
                      <w:szCs w:val="21"/>
                      <w:lang w:eastAsia="zh-CN"/>
                    </w:rPr>
                    <w:t>、</w:t>
                  </w:r>
                  <w:r>
                    <w:rPr>
                      <w:rFonts w:hint="eastAsia" w:ascii="宋体" w:hAnsi="宋体"/>
                      <w:color w:val="auto"/>
                      <w:szCs w:val="21"/>
                    </w:rPr>
                    <w:t>烫伤、走</w:t>
                  </w:r>
                  <w:r>
                    <w:rPr>
                      <w:rFonts w:ascii="宋体" w:hAnsi="宋体"/>
                      <w:color w:val="auto"/>
                      <w:szCs w:val="21"/>
                    </w:rPr>
                    <w:t>失</w:t>
                  </w:r>
                  <w:r>
                    <w:rPr>
                      <w:rFonts w:hint="eastAsia" w:ascii="宋体" w:hAnsi="宋体"/>
                      <w:color w:val="auto"/>
                      <w:szCs w:val="21"/>
                    </w:rPr>
                    <w:t>等扣10分</w:t>
                  </w:r>
                </w:p>
              </w:tc>
              <w:tc>
                <w:tcPr>
                  <w:tcW w:w="855" w:type="dxa"/>
                  <w:noWrap w:val="0"/>
                  <w:vAlign w:val="top"/>
                </w:tcPr>
                <w:p w14:paraId="5FA7F7CF">
                  <w:pPr>
                    <w:spacing w:line="360" w:lineRule="exact"/>
                    <w:rPr>
                      <w:rFonts w:hint="eastAsia" w:ascii="宋体" w:hAnsi="宋体"/>
                      <w:color w:val="auto"/>
                      <w:szCs w:val="21"/>
                    </w:rPr>
                  </w:pPr>
                </w:p>
              </w:tc>
            </w:tr>
            <w:tr w14:paraId="6D55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17" w:type="dxa"/>
                  <w:noWrap w:val="0"/>
                  <w:vAlign w:val="center"/>
                </w:tcPr>
                <w:p w14:paraId="482BDDB9">
                  <w:pPr>
                    <w:spacing w:line="360" w:lineRule="exact"/>
                    <w:jc w:val="center"/>
                    <w:rPr>
                      <w:rFonts w:hint="eastAsia" w:ascii="宋体" w:hAnsi="宋体"/>
                      <w:color w:val="auto"/>
                      <w:szCs w:val="21"/>
                    </w:rPr>
                  </w:pPr>
                  <w:r>
                    <w:rPr>
                      <w:rFonts w:hint="eastAsia" w:ascii="宋体" w:hAnsi="宋体"/>
                      <w:color w:val="auto"/>
                      <w:szCs w:val="21"/>
                    </w:rPr>
                    <w:t>工作</w:t>
                  </w:r>
                </w:p>
                <w:p w14:paraId="1D48D438">
                  <w:pPr>
                    <w:spacing w:line="360" w:lineRule="exact"/>
                    <w:jc w:val="center"/>
                    <w:rPr>
                      <w:rFonts w:ascii="宋体" w:hAnsi="宋体"/>
                      <w:color w:val="auto"/>
                      <w:szCs w:val="21"/>
                    </w:rPr>
                  </w:pPr>
                  <w:r>
                    <w:rPr>
                      <w:rFonts w:hint="eastAsia" w:ascii="宋体" w:hAnsi="宋体"/>
                      <w:color w:val="auto"/>
                      <w:szCs w:val="21"/>
                    </w:rPr>
                    <w:t>态度</w:t>
                  </w:r>
                </w:p>
                <w:p w14:paraId="06B42422">
                  <w:pPr>
                    <w:spacing w:line="360" w:lineRule="exact"/>
                    <w:jc w:val="center"/>
                    <w:rPr>
                      <w:rFonts w:hint="eastAsia" w:ascii="宋体" w:hAnsi="宋体"/>
                      <w:color w:val="auto"/>
                      <w:szCs w:val="21"/>
                    </w:rPr>
                  </w:pPr>
                  <w:r>
                    <w:rPr>
                      <w:rFonts w:hint="eastAsia" w:ascii="宋体" w:hAnsi="宋体"/>
                      <w:color w:val="auto"/>
                      <w:szCs w:val="21"/>
                    </w:rPr>
                    <w:t>10分</w:t>
                  </w:r>
                </w:p>
              </w:tc>
              <w:tc>
                <w:tcPr>
                  <w:tcW w:w="5812" w:type="dxa"/>
                  <w:noWrap w:val="0"/>
                  <w:vAlign w:val="top"/>
                </w:tcPr>
                <w:p w14:paraId="4598211C">
                  <w:pPr>
                    <w:spacing w:line="360" w:lineRule="exact"/>
                    <w:rPr>
                      <w:rFonts w:hint="eastAsia" w:ascii="宋体" w:hAnsi="宋体"/>
                      <w:color w:val="auto"/>
                      <w:szCs w:val="21"/>
                    </w:rPr>
                  </w:pPr>
                  <w:r>
                    <w:rPr>
                      <w:rFonts w:hint="eastAsia" w:ascii="宋体" w:hAnsi="宋体"/>
                      <w:color w:val="auto"/>
                      <w:szCs w:val="21"/>
                    </w:rPr>
                    <w:t>1.态度和蔼、耐心细致，</w:t>
                  </w:r>
                  <w:r>
                    <w:rPr>
                      <w:rFonts w:ascii="宋体" w:hAnsi="宋体"/>
                      <w:color w:val="auto"/>
                      <w:szCs w:val="21"/>
                    </w:rPr>
                    <w:t>礼貌待人</w:t>
                  </w:r>
                  <w:r>
                    <w:rPr>
                      <w:rFonts w:hint="eastAsia" w:ascii="宋体" w:hAnsi="宋体"/>
                      <w:color w:val="auto"/>
                      <w:szCs w:val="21"/>
                    </w:rPr>
                    <w:t>，责</w:t>
                  </w:r>
                  <w:r>
                    <w:rPr>
                      <w:rFonts w:ascii="宋体" w:hAnsi="宋体"/>
                      <w:color w:val="auto"/>
                      <w:szCs w:val="21"/>
                    </w:rPr>
                    <w:t>任心强</w:t>
                  </w:r>
                  <w:r>
                    <w:rPr>
                      <w:rFonts w:hint="eastAsia" w:ascii="宋体" w:hAnsi="宋体"/>
                      <w:color w:val="auto"/>
                      <w:szCs w:val="21"/>
                    </w:rPr>
                    <w:t>。</w:t>
                  </w:r>
                </w:p>
                <w:p w14:paraId="2C4E8ABA">
                  <w:pPr>
                    <w:spacing w:line="360" w:lineRule="exact"/>
                    <w:rPr>
                      <w:rFonts w:hint="eastAsia" w:ascii="宋体" w:hAnsi="宋体"/>
                      <w:color w:val="auto"/>
                      <w:szCs w:val="21"/>
                    </w:rPr>
                  </w:pPr>
                  <w:r>
                    <w:rPr>
                      <w:rFonts w:hint="eastAsia" w:ascii="宋体" w:hAnsi="宋体"/>
                      <w:color w:val="auto"/>
                      <w:szCs w:val="21"/>
                    </w:rPr>
                    <w:t>2.不辱骂、不刁难虐待</w:t>
                  </w:r>
                  <w:r>
                    <w:rPr>
                      <w:rFonts w:hint="eastAsia" w:ascii="宋体" w:hAnsi="宋体"/>
                      <w:color w:val="auto"/>
                      <w:szCs w:val="21"/>
                      <w:lang w:eastAsia="zh-CN"/>
                    </w:rPr>
                    <w:t>患者</w:t>
                  </w:r>
                  <w:r>
                    <w:rPr>
                      <w:rFonts w:hint="eastAsia" w:ascii="宋体" w:hAnsi="宋体"/>
                      <w:color w:val="auto"/>
                      <w:szCs w:val="21"/>
                    </w:rPr>
                    <w:t>，对</w:t>
                  </w:r>
                  <w:r>
                    <w:rPr>
                      <w:rFonts w:hint="eastAsia" w:ascii="宋体" w:hAnsi="宋体"/>
                      <w:color w:val="auto"/>
                      <w:szCs w:val="21"/>
                      <w:lang w:eastAsia="zh-CN"/>
                    </w:rPr>
                    <w:t>患者及家属</w:t>
                  </w:r>
                  <w:r>
                    <w:rPr>
                      <w:rFonts w:hint="eastAsia" w:ascii="宋体" w:hAnsi="宋体"/>
                      <w:color w:val="auto"/>
                      <w:szCs w:val="21"/>
                    </w:rPr>
                    <w:t>要尊重。</w:t>
                  </w:r>
                </w:p>
                <w:p w14:paraId="156BBDFC">
                  <w:pPr>
                    <w:spacing w:line="360" w:lineRule="exact"/>
                    <w:rPr>
                      <w:rFonts w:hint="eastAsia" w:ascii="宋体" w:hAnsi="宋体"/>
                      <w:color w:val="auto"/>
                      <w:szCs w:val="21"/>
                    </w:rPr>
                  </w:pPr>
                  <w:r>
                    <w:rPr>
                      <w:rFonts w:hint="eastAsia" w:ascii="宋体" w:hAnsi="宋体"/>
                      <w:color w:val="auto"/>
                      <w:szCs w:val="21"/>
                    </w:rPr>
                    <w:t>3.作风正派</w:t>
                  </w:r>
                  <w:r>
                    <w:rPr>
                      <w:rFonts w:ascii="宋体" w:hAnsi="宋体"/>
                      <w:color w:val="auto"/>
                      <w:szCs w:val="21"/>
                    </w:rPr>
                    <w:t>，遵纪守法，</w:t>
                  </w:r>
                  <w:r>
                    <w:rPr>
                      <w:rFonts w:hint="eastAsia" w:ascii="宋体" w:hAnsi="宋体"/>
                      <w:color w:val="auto"/>
                      <w:szCs w:val="21"/>
                    </w:rPr>
                    <w:t>服从工作</w:t>
                  </w:r>
                  <w:r>
                    <w:rPr>
                      <w:rFonts w:ascii="宋体" w:hAnsi="宋体"/>
                      <w:color w:val="auto"/>
                      <w:szCs w:val="21"/>
                    </w:rPr>
                    <w:t>分</w:t>
                  </w:r>
                  <w:r>
                    <w:rPr>
                      <w:rFonts w:hint="eastAsia" w:ascii="宋体" w:hAnsi="宋体"/>
                      <w:color w:val="auto"/>
                      <w:szCs w:val="21"/>
                    </w:rPr>
                    <w:t xml:space="preserve">配。 </w:t>
                  </w:r>
                </w:p>
                <w:p w14:paraId="1751DDD3">
                  <w:pPr>
                    <w:spacing w:line="360" w:lineRule="exact"/>
                    <w:rPr>
                      <w:rFonts w:hint="eastAsia" w:ascii="宋体" w:hAnsi="宋体"/>
                      <w:color w:val="auto"/>
                      <w:szCs w:val="21"/>
                    </w:rPr>
                  </w:pPr>
                  <w:r>
                    <w:rPr>
                      <w:rFonts w:hint="eastAsia" w:ascii="宋体" w:hAnsi="宋体"/>
                      <w:color w:val="auto"/>
                      <w:szCs w:val="21"/>
                    </w:rPr>
                    <w:t>4.</w:t>
                  </w:r>
                  <w:r>
                    <w:rPr>
                      <w:rFonts w:ascii="宋体" w:hAnsi="宋体"/>
                      <w:color w:val="auto"/>
                      <w:szCs w:val="21"/>
                    </w:rPr>
                    <w:t>坚守岗位，</w:t>
                  </w:r>
                  <w:r>
                    <w:rPr>
                      <w:rFonts w:hint="eastAsia" w:ascii="宋体" w:hAnsi="宋体"/>
                      <w:color w:val="auto"/>
                      <w:szCs w:val="21"/>
                    </w:rPr>
                    <w:t>须外</w:t>
                  </w:r>
                  <w:r>
                    <w:rPr>
                      <w:rFonts w:ascii="宋体" w:hAnsi="宋体"/>
                      <w:color w:val="auto"/>
                      <w:szCs w:val="21"/>
                    </w:rPr>
                    <w:t>出</w:t>
                  </w:r>
                  <w:r>
                    <w:rPr>
                      <w:rFonts w:hint="eastAsia" w:ascii="宋体" w:hAnsi="宋体"/>
                      <w:color w:val="auto"/>
                      <w:szCs w:val="21"/>
                    </w:rPr>
                    <w:t>时按规</w:t>
                  </w:r>
                  <w:r>
                    <w:rPr>
                      <w:rFonts w:ascii="宋体" w:hAnsi="宋体"/>
                      <w:color w:val="auto"/>
                      <w:szCs w:val="21"/>
                    </w:rPr>
                    <w:t>定办理请假手续</w:t>
                  </w:r>
                  <w:r>
                    <w:rPr>
                      <w:rFonts w:hint="eastAsia" w:ascii="宋体" w:hAnsi="宋体"/>
                      <w:color w:val="auto"/>
                      <w:szCs w:val="21"/>
                    </w:rPr>
                    <w:t>。</w:t>
                  </w:r>
                </w:p>
              </w:tc>
              <w:tc>
                <w:tcPr>
                  <w:tcW w:w="1984" w:type="dxa"/>
                  <w:noWrap w:val="0"/>
                  <w:vAlign w:val="top"/>
                </w:tcPr>
                <w:p w14:paraId="2847CC9E">
                  <w:pPr>
                    <w:spacing w:line="320" w:lineRule="exact"/>
                    <w:rPr>
                      <w:rFonts w:hint="eastAsia" w:ascii="宋体" w:hAnsi="宋体"/>
                      <w:color w:val="auto"/>
                      <w:szCs w:val="21"/>
                    </w:rPr>
                  </w:pPr>
                  <w:r>
                    <w:rPr>
                      <w:rFonts w:hint="eastAsia" w:ascii="宋体" w:hAnsi="宋体"/>
                      <w:color w:val="auto"/>
                      <w:szCs w:val="21"/>
                    </w:rPr>
                    <w:t>实地查看及调查，不符合要求扣1分，发现训斥患者一次扣5分，辱骂、刁难虐待患者一次扣10分罚款100元造成</w:t>
                  </w:r>
                  <w:r>
                    <w:rPr>
                      <w:rFonts w:ascii="宋体" w:hAnsi="宋体"/>
                      <w:color w:val="auto"/>
                      <w:szCs w:val="21"/>
                    </w:rPr>
                    <w:t>不良后果</w:t>
                  </w:r>
                  <w:r>
                    <w:rPr>
                      <w:rFonts w:hint="eastAsia" w:ascii="宋体" w:hAnsi="宋体"/>
                      <w:color w:val="auto"/>
                      <w:szCs w:val="21"/>
                    </w:rPr>
                    <w:t>者</w:t>
                  </w:r>
                  <w:r>
                    <w:rPr>
                      <w:rFonts w:ascii="宋体" w:hAnsi="宋体"/>
                      <w:color w:val="auto"/>
                      <w:szCs w:val="21"/>
                    </w:rPr>
                    <w:t>扣</w:t>
                  </w:r>
                  <w:r>
                    <w:rPr>
                      <w:rFonts w:hint="eastAsia" w:ascii="宋体" w:hAnsi="宋体"/>
                      <w:color w:val="auto"/>
                      <w:szCs w:val="21"/>
                    </w:rPr>
                    <w:t>300元</w:t>
                  </w:r>
                </w:p>
              </w:tc>
              <w:tc>
                <w:tcPr>
                  <w:tcW w:w="855" w:type="dxa"/>
                  <w:noWrap w:val="0"/>
                  <w:vAlign w:val="top"/>
                </w:tcPr>
                <w:p w14:paraId="183E1537">
                  <w:pPr>
                    <w:spacing w:line="360" w:lineRule="exact"/>
                    <w:rPr>
                      <w:rFonts w:hint="eastAsia" w:ascii="宋体" w:hAnsi="宋体"/>
                      <w:color w:val="auto"/>
                      <w:szCs w:val="21"/>
                    </w:rPr>
                  </w:pPr>
                </w:p>
              </w:tc>
            </w:tr>
            <w:tr w14:paraId="04B2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D1AF568">
                  <w:pPr>
                    <w:spacing w:line="360" w:lineRule="exact"/>
                    <w:jc w:val="center"/>
                    <w:rPr>
                      <w:rFonts w:ascii="宋体" w:hAnsi="宋体"/>
                      <w:color w:val="auto"/>
                      <w:szCs w:val="21"/>
                    </w:rPr>
                  </w:pPr>
                  <w:r>
                    <w:rPr>
                      <w:rFonts w:hint="eastAsia" w:ascii="宋体" w:hAnsi="宋体"/>
                      <w:color w:val="auto"/>
                      <w:szCs w:val="21"/>
                    </w:rPr>
                    <w:t>行为</w:t>
                  </w:r>
                </w:p>
                <w:p w14:paraId="067252D9">
                  <w:pPr>
                    <w:spacing w:line="360" w:lineRule="exact"/>
                    <w:jc w:val="center"/>
                    <w:rPr>
                      <w:rFonts w:ascii="宋体" w:hAnsi="宋体"/>
                      <w:color w:val="auto"/>
                      <w:szCs w:val="21"/>
                    </w:rPr>
                  </w:pPr>
                  <w:r>
                    <w:rPr>
                      <w:rFonts w:hint="eastAsia" w:ascii="宋体" w:hAnsi="宋体"/>
                      <w:color w:val="auto"/>
                      <w:szCs w:val="21"/>
                    </w:rPr>
                    <w:t>规范</w:t>
                  </w:r>
                </w:p>
                <w:p w14:paraId="373CA6F8">
                  <w:pPr>
                    <w:spacing w:line="360" w:lineRule="exact"/>
                    <w:jc w:val="center"/>
                    <w:rPr>
                      <w:rFonts w:hint="eastAsia" w:ascii="宋体" w:hAnsi="宋体"/>
                      <w:color w:val="auto"/>
                      <w:szCs w:val="21"/>
                    </w:rPr>
                  </w:pPr>
                  <w:r>
                    <w:rPr>
                      <w:rFonts w:hint="eastAsia" w:ascii="宋体" w:hAnsi="宋体"/>
                      <w:color w:val="auto"/>
                      <w:szCs w:val="21"/>
                    </w:rPr>
                    <w:t>20分</w:t>
                  </w:r>
                </w:p>
              </w:tc>
              <w:tc>
                <w:tcPr>
                  <w:tcW w:w="5812" w:type="dxa"/>
                  <w:noWrap w:val="0"/>
                  <w:vAlign w:val="top"/>
                </w:tcPr>
                <w:p w14:paraId="2472228A">
                  <w:pPr>
                    <w:autoSpaceDE w:val="0"/>
                    <w:spacing w:line="300" w:lineRule="exac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禁止</w:t>
                  </w:r>
                  <w:r>
                    <w:rPr>
                      <w:rFonts w:hint="eastAsia" w:ascii="宋体" w:hAnsi="宋体"/>
                      <w:color w:val="auto"/>
                      <w:szCs w:val="21"/>
                    </w:rPr>
                    <w:t>向家属索取钱物与拉关系，不准吃患者的食物。</w:t>
                  </w:r>
                </w:p>
                <w:p w14:paraId="5607EE44">
                  <w:pPr>
                    <w:autoSpaceDE w:val="0"/>
                    <w:spacing w:line="300" w:lineRule="exac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禁止</w:t>
                  </w:r>
                  <w:r>
                    <w:rPr>
                      <w:rFonts w:hint="eastAsia" w:ascii="宋体" w:hAnsi="宋体"/>
                      <w:color w:val="auto"/>
                      <w:szCs w:val="21"/>
                    </w:rPr>
                    <w:t>串科、离岗，聚众闲聊，</w:t>
                  </w:r>
                  <w:r>
                    <w:rPr>
                      <w:rFonts w:ascii="宋体" w:hAnsi="宋体"/>
                      <w:color w:val="auto"/>
                      <w:szCs w:val="21"/>
                    </w:rPr>
                    <w:t>搬弄是非</w:t>
                  </w:r>
                  <w:r>
                    <w:rPr>
                      <w:rFonts w:hint="eastAsia" w:ascii="宋体" w:hAnsi="宋体"/>
                      <w:color w:val="auto"/>
                      <w:szCs w:val="21"/>
                    </w:rPr>
                    <w:t>。</w:t>
                  </w:r>
                </w:p>
                <w:p w14:paraId="13357EC2">
                  <w:pPr>
                    <w:autoSpaceDE w:val="0"/>
                    <w:spacing w:line="300" w:lineRule="exact"/>
                    <w:rPr>
                      <w:rFonts w:hint="eastAsia" w:ascii="宋体" w:hAnsi="宋体" w:eastAsia="宋体"/>
                      <w:color w:val="auto"/>
                      <w:szCs w:val="21"/>
                      <w:lang w:eastAsia="zh-CN"/>
                    </w:rPr>
                  </w:pPr>
                  <w:r>
                    <w:rPr>
                      <w:rFonts w:hint="eastAsia" w:ascii="宋体" w:hAnsi="宋体"/>
                      <w:color w:val="auto"/>
                      <w:szCs w:val="21"/>
                    </w:rPr>
                    <w:t>3.</w:t>
                  </w:r>
                  <w:r>
                    <w:rPr>
                      <w:rFonts w:hint="eastAsia" w:ascii="宋体" w:hAnsi="宋体"/>
                      <w:color w:val="auto"/>
                      <w:szCs w:val="21"/>
                      <w:lang w:eastAsia="zh-CN"/>
                    </w:rPr>
                    <w:t>禁止</w:t>
                  </w:r>
                  <w:r>
                    <w:rPr>
                      <w:rFonts w:hint="eastAsia" w:ascii="宋体" w:hAnsi="宋体"/>
                      <w:color w:val="auto"/>
                      <w:szCs w:val="21"/>
                    </w:rPr>
                    <w:t>做私活，如织毛衣，玩手掌游戏、做饭等</w:t>
                  </w:r>
                  <w:r>
                    <w:rPr>
                      <w:rFonts w:hint="eastAsia" w:ascii="宋体" w:hAnsi="宋体"/>
                      <w:color w:val="auto"/>
                      <w:szCs w:val="21"/>
                      <w:lang w:eastAsia="zh-CN"/>
                    </w:rPr>
                    <w:t>。</w:t>
                  </w:r>
                </w:p>
                <w:p w14:paraId="1B9AC539">
                  <w:pPr>
                    <w:autoSpaceDE w:val="0"/>
                    <w:spacing w:line="300" w:lineRule="exact"/>
                    <w:rPr>
                      <w:rFonts w:hint="eastAsia" w:ascii="宋体" w:hAnsi="宋体"/>
                      <w:color w:val="auto"/>
                      <w:szCs w:val="21"/>
                    </w:rPr>
                  </w:pPr>
                  <w:r>
                    <w:rPr>
                      <w:rFonts w:hint="eastAsia" w:ascii="宋体" w:hAnsi="宋体"/>
                      <w:color w:val="auto"/>
                      <w:szCs w:val="21"/>
                    </w:rPr>
                    <w:t>4.护工间</w:t>
                  </w:r>
                  <w:r>
                    <w:rPr>
                      <w:rFonts w:hint="eastAsia" w:ascii="宋体" w:hAnsi="宋体"/>
                      <w:color w:val="auto"/>
                      <w:szCs w:val="21"/>
                      <w:lang w:eastAsia="zh-CN"/>
                    </w:rPr>
                    <w:t>禁止</w:t>
                  </w:r>
                  <w:r>
                    <w:rPr>
                      <w:rFonts w:hint="eastAsia" w:ascii="宋体" w:hAnsi="宋体"/>
                      <w:color w:val="auto"/>
                      <w:szCs w:val="21"/>
                    </w:rPr>
                    <w:t>分派性吵架、打架、斗殴、聚众闹事。</w:t>
                  </w:r>
                </w:p>
                <w:p w14:paraId="44E46E47">
                  <w:pPr>
                    <w:autoSpaceDE w:val="0"/>
                    <w:spacing w:line="300" w:lineRule="exact"/>
                    <w:rPr>
                      <w:rFonts w:hint="eastAsia" w:ascii="宋体" w:hAnsi="宋体"/>
                      <w:color w:val="auto"/>
                      <w:szCs w:val="21"/>
                    </w:rPr>
                  </w:pPr>
                  <w:r>
                    <w:rPr>
                      <w:rFonts w:hint="eastAsia" w:ascii="宋体" w:hAnsi="宋体"/>
                      <w:color w:val="auto"/>
                      <w:szCs w:val="21"/>
                    </w:rPr>
                    <w:t>5.</w:t>
                  </w:r>
                  <w:r>
                    <w:rPr>
                      <w:rFonts w:hint="eastAsia" w:ascii="宋体" w:hAnsi="宋体"/>
                      <w:color w:val="auto"/>
                      <w:szCs w:val="21"/>
                      <w:lang w:eastAsia="zh-CN"/>
                    </w:rPr>
                    <w:t>禁止</w:t>
                  </w:r>
                  <w:r>
                    <w:rPr>
                      <w:rFonts w:hint="eastAsia" w:ascii="宋体" w:hAnsi="宋体"/>
                      <w:color w:val="auto"/>
                      <w:szCs w:val="21"/>
                    </w:rPr>
                    <w:t>在病区内抽烟、喝酒。</w:t>
                  </w:r>
                </w:p>
                <w:p w14:paraId="3139EC0E">
                  <w:pPr>
                    <w:autoSpaceDE w:val="0"/>
                    <w:spacing w:line="300" w:lineRule="exact"/>
                    <w:rPr>
                      <w:rFonts w:hint="eastAsia" w:ascii="宋体" w:hAnsi="宋体"/>
                      <w:color w:val="auto"/>
                      <w:szCs w:val="21"/>
                    </w:rPr>
                  </w:pPr>
                  <w:r>
                    <w:rPr>
                      <w:rFonts w:hint="eastAsia" w:ascii="宋体" w:hAnsi="宋体"/>
                      <w:color w:val="auto"/>
                      <w:szCs w:val="21"/>
                    </w:rPr>
                    <w:t>6.</w:t>
                  </w:r>
                  <w:r>
                    <w:rPr>
                      <w:rFonts w:hint="eastAsia" w:ascii="宋体" w:hAnsi="宋体"/>
                      <w:color w:val="auto"/>
                      <w:szCs w:val="21"/>
                      <w:lang w:eastAsia="zh-CN"/>
                    </w:rPr>
                    <w:t>禁止</w:t>
                  </w:r>
                  <w:r>
                    <w:rPr>
                      <w:rFonts w:hint="eastAsia" w:ascii="宋体" w:hAnsi="宋体"/>
                      <w:color w:val="auto"/>
                      <w:szCs w:val="21"/>
                    </w:rPr>
                    <w:t>随意翻阅病历和其他医疗文件</w:t>
                  </w:r>
                  <w:r>
                    <w:rPr>
                      <w:rFonts w:hint="eastAsia" w:ascii="宋体" w:hAnsi="宋体"/>
                      <w:color w:val="auto"/>
                      <w:szCs w:val="21"/>
                      <w:lang w:eastAsia="zh-CN"/>
                    </w:rPr>
                    <w:t>、</w:t>
                  </w:r>
                  <w:r>
                    <w:rPr>
                      <w:rFonts w:hint="eastAsia" w:ascii="宋体" w:hAnsi="宋体"/>
                      <w:color w:val="auto"/>
                      <w:szCs w:val="21"/>
                    </w:rPr>
                    <w:t>私自挪用医院的物品</w:t>
                  </w:r>
                  <w:r>
                    <w:rPr>
                      <w:rFonts w:hint="eastAsia" w:ascii="宋体" w:hAnsi="宋体"/>
                      <w:color w:val="auto"/>
                      <w:szCs w:val="21"/>
                      <w:lang w:eastAsia="zh-CN"/>
                    </w:rPr>
                    <w:t>、</w:t>
                  </w:r>
                  <w:r>
                    <w:rPr>
                      <w:rFonts w:hint="eastAsia" w:ascii="宋体" w:hAnsi="宋体"/>
                      <w:color w:val="auto"/>
                      <w:szCs w:val="21"/>
                    </w:rPr>
                    <w:t>损坏与偷窃医院及他人的财产</w:t>
                  </w:r>
                  <w:r>
                    <w:rPr>
                      <w:rFonts w:hint="eastAsia" w:ascii="宋体" w:hAnsi="宋体"/>
                      <w:color w:val="auto"/>
                      <w:szCs w:val="21"/>
                      <w:lang w:eastAsia="zh-CN"/>
                    </w:rPr>
                    <w:t>、</w:t>
                  </w:r>
                  <w:r>
                    <w:rPr>
                      <w:rFonts w:hint="eastAsia" w:ascii="宋体" w:hAnsi="宋体"/>
                      <w:color w:val="auto"/>
                      <w:szCs w:val="21"/>
                    </w:rPr>
                    <w:t>泄露患者及家属的隐私。</w:t>
                  </w:r>
                </w:p>
                <w:p w14:paraId="371A4894">
                  <w:pPr>
                    <w:spacing w:line="360" w:lineRule="exact"/>
                    <w:rPr>
                      <w:rFonts w:hint="eastAsia" w:ascii="宋体" w:hAnsi="宋体" w:eastAsia="宋体"/>
                      <w:color w:val="auto"/>
                      <w:szCs w:val="21"/>
                      <w:lang w:eastAsia="zh-CN"/>
                    </w:rPr>
                  </w:pPr>
                  <w:r>
                    <w:rPr>
                      <w:rFonts w:hint="eastAsia" w:ascii="宋体" w:hAnsi="宋体"/>
                      <w:color w:val="auto"/>
                      <w:szCs w:val="21"/>
                    </w:rPr>
                    <w:t>7.</w:t>
                  </w:r>
                  <w:r>
                    <w:rPr>
                      <w:rFonts w:hint="eastAsia" w:ascii="宋体" w:hAnsi="宋体"/>
                      <w:color w:val="auto"/>
                      <w:szCs w:val="21"/>
                      <w:lang w:eastAsia="zh-CN"/>
                    </w:rPr>
                    <w:t>禁止</w:t>
                  </w:r>
                  <w:r>
                    <w:rPr>
                      <w:rFonts w:hint="eastAsia" w:ascii="宋体" w:hAnsi="宋体"/>
                      <w:color w:val="auto"/>
                      <w:szCs w:val="21"/>
                    </w:rPr>
                    <w:t>从事医疗护理操作，如换液体、吸痰等</w:t>
                  </w:r>
                  <w:r>
                    <w:rPr>
                      <w:rFonts w:hint="eastAsia" w:ascii="宋体" w:hAnsi="宋体"/>
                      <w:color w:val="auto"/>
                      <w:szCs w:val="21"/>
                      <w:lang w:eastAsia="zh-CN"/>
                    </w:rPr>
                    <w:t>。</w:t>
                  </w:r>
                </w:p>
                <w:p w14:paraId="1D7066C2">
                  <w:pPr>
                    <w:spacing w:line="360" w:lineRule="exact"/>
                    <w:rPr>
                      <w:rFonts w:hint="eastAsia" w:ascii="宋体" w:hAnsi="宋体" w:eastAsia="宋体"/>
                      <w:color w:val="auto"/>
                      <w:szCs w:val="21"/>
                      <w:lang w:eastAsia="zh-CN"/>
                    </w:rPr>
                  </w:pPr>
                  <w:r>
                    <w:rPr>
                      <w:rFonts w:hint="eastAsia" w:ascii="宋体" w:hAnsi="宋体"/>
                      <w:color w:val="auto"/>
                      <w:szCs w:val="21"/>
                    </w:rPr>
                    <w:t>8.</w:t>
                  </w:r>
                  <w:r>
                    <w:rPr>
                      <w:rFonts w:hint="eastAsia" w:ascii="宋体" w:hAnsi="宋体"/>
                      <w:color w:val="auto"/>
                      <w:szCs w:val="21"/>
                      <w:lang w:eastAsia="zh-CN"/>
                    </w:rPr>
                    <w:t>禁止</w:t>
                  </w:r>
                  <w:r>
                    <w:rPr>
                      <w:rFonts w:hint="eastAsia" w:ascii="宋体" w:hAnsi="宋体"/>
                      <w:color w:val="auto"/>
                      <w:szCs w:val="21"/>
                    </w:rPr>
                    <w:t>用微波炉煮生饭生菜</w:t>
                  </w:r>
                  <w:r>
                    <w:rPr>
                      <w:rFonts w:hint="eastAsia" w:ascii="宋体" w:hAnsi="宋体"/>
                      <w:color w:val="auto"/>
                      <w:szCs w:val="21"/>
                      <w:lang w:eastAsia="zh-CN"/>
                    </w:rPr>
                    <w:t>，</w:t>
                  </w:r>
                  <w:r>
                    <w:rPr>
                      <w:rFonts w:hint="eastAsia" w:ascii="宋体" w:hAnsi="宋体"/>
                      <w:color w:val="auto"/>
                      <w:szCs w:val="21"/>
                    </w:rPr>
                    <w:t>使用电器烧饭、烧菜</w:t>
                  </w:r>
                  <w:r>
                    <w:rPr>
                      <w:rFonts w:hint="eastAsia" w:ascii="宋体" w:hAnsi="宋体"/>
                      <w:color w:val="auto"/>
                      <w:szCs w:val="21"/>
                      <w:lang w:eastAsia="zh-CN"/>
                    </w:rPr>
                    <w:t>等。</w:t>
                  </w:r>
                </w:p>
                <w:p w14:paraId="225B4217">
                  <w:pPr>
                    <w:spacing w:line="360" w:lineRule="exact"/>
                    <w:rPr>
                      <w:rFonts w:ascii="宋体" w:hAnsi="宋体"/>
                      <w:color w:val="auto"/>
                      <w:szCs w:val="21"/>
                    </w:rPr>
                  </w:pPr>
                  <w:r>
                    <w:rPr>
                      <w:rFonts w:hint="eastAsia" w:ascii="宋体" w:hAnsi="宋体"/>
                      <w:color w:val="auto"/>
                      <w:szCs w:val="21"/>
                    </w:rPr>
                    <w:t>9.</w:t>
                  </w:r>
                  <w:r>
                    <w:rPr>
                      <w:rFonts w:hint="eastAsia" w:ascii="宋体" w:hAnsi="宋体"/>
                      <w:color w:val="auto"/>
                      <w:szCs w:val="21"/>
                      <w:lang w:eastAsia="zh-CN"/>
                    </w:rPr>
                    <w:t>禁止</w:t>
                  </w:r>
                  <w:r>
                    <w:rPr>
                      <w:rFonts w:ascii="宋体" w:hAnsi="宋体"/>
                      <w:color w:val="auto"/>
                      <w:szCs w:val="21"/>
                    </w:rPr>
                    <w:t>在正常上班时间躺下睡觉。</w:t>
                  </w:r>
                </w:p>
                <w:p w14:paraId="3CB13D5C">
                  <w:pPr>
                    <w:spacing w:line="360" w:lineRule="exact"/>
                    <w:rPr>
                      <w:rFonts w:hint="eastAsia" w:ascii="宋体" w:hAnsi="宋体"/>
                      <w:color w:val="auto"/>
                      <w:szCs w:val="21"/>
                    </w:rPr>
                  </w:pPr>
                  <w:r>
                    <w:rPr>
                      <w:rFonts w:hint="eastAsia" w:ascii="宋体" w:hAnsi="宋体"/>
                      <w:color w:val="auto"/>
                      <w:szCs w:val="21"/>
                    </w:rPr>
                    <w:t>10.</w:t>
                  </w:r>
                  <w:r>
                    <w:rPr>
                      <w:rFonts w:hint="eastAsia" w:ascii="宋体" w:hAnsi="宋体"/>
                      <w:color w:val="auto"/>
                      <w:szCs w:val="21"/>
                      <w:lang w:eastAsia="zh-CN"/>
                    </w:rPr>
                    <w:t>禁止</w:t>
                  </w:r>
                  <w:r>
                    <w:rPr>
                      <w:rFonts w:ascii="宋体" w:hAnsi="宋体"/>
                      <w:color w:val="auto"/>
                      <w:szCs w:val="21"/>
                    </w:rPr>
                    <w:t>留宿不明身份外来人员。</w:t>
                  </w:r>
                </w:p>
              </w:tc>
              <w:tc>
                <w:tcPr>
                  <w:tcW w:w="1984" w:type="dxa"/>
                  <w:noWrap w:val="0"/>
                  <w:vAlign w:val="top"/>
                </w:tcPr>
                <w:p w14:paraId="50923F86">
                  <w:pPr>
                    <w:spacing w:line="360" w:lineRule="exact"/>
                    <w:rPr>
                      <w:rFonts w:hint="eastAsia" w:ascii="宋体" w:hAnsi="宋体"/>
                      <w:color w:val="auto"/>
                      <w:szCs w:val="21"/>
                    </w:rPr>
                  </w:pPr>
                  <w:r>
                    <w:rPr>
                      <w:rFonts w:hint="eastAsia" w:ascii="宋体" w:hAnsi="宋体"/>
                      <w:color w:val="auto"/>
                      <w:szCs w:val="21"/>
                    </w:rPr>
                    <w:t>违反一项视情节</w:t>
                  </w:r>
                  <w:r>
                    <w:rPr>
                      <w:rFonts w:ascii="宋体" w:hAnsi="宋体"/>
                      <w:color w:val="auto"/>
                      <w:szCs w:val="21"/>
                    </w:rPr>
                    <w:t>轻重</w:t>
                  </w:r>
                  <w:r>
                    <w:rPr>
                      <w:rFonts w:hint="eastAsia" w:ascii="宋体" w:hAnsi="宋体"/>
                      <w:color w:val="auto"/>
                      <w:szCs w:val="21"/>
                    </w:rPr>
                    <w:t>扣1-10分</w:t>
                  </w:r>
                </w:p>
                <w:p w14:paraId="16E888A0">
                  <w:pPr>
                    <w:spacing w:line="360" w:lineRule="exact"/>
                    <w:rPr>
                      <w:rFonts w:hint="eastAsia" w:ascii="宋体" w:hAnsi="宋体"/>
                      <w:color w:val="auto"/>
                      <w:szCs w:val="21"/>
                    </w:rPr>
                  </w:pPr>
                  <w:r>
                    <w:rPr>
                      <w:rFonts w:hint="eastAsia" w:ascii="宋体" w:hAnsi="宋体"/>
                      <w:color w:val="auto"/>
                      <w:szCs w:val="21"/>
                    </w:rPr>
                    <w:t>吃患者食物一旦发现除扣10分外，对</w:t>
                  </w:r>
                  <w:r>
                    <w:rPr>
                      <w:rFonts w:hint="eastAsia" w:ascii="宋体" w:hAnsi="宋体"/>
                      <w:color w:val="auto"/>
                      <w:szCs w:val="21"/>
                      <w:highlight w:val="none"/>
                      <w:lang w:eastAsia="zh-CN"/>
                    </w:rPr>
                    <w:t>成交供应商</w:t>
                  </w:r>
                  <w:r>
                    <w:rPr>
                      <w:rFonts w:hint="eastAsia" w:ascii="宋体" w:hAnsi="宋体"/>
                      <w:color w:val="auto"/>
                      <w:szCs w:val="21"/>
                    </w:rPr>
                    <w:t>处罚100元</w:t>
                  </w:r>
                </w:p>
              </w:tc>
              <w:tc>
                <w:tcPr>
                  <w:tcW w:w="855" w:type="dxa"/>
                  <w:noWrap w:val="0"/>
                  <w:vAlign w:val="top"/>
                </w:tcPr>
                <w:p w14:paraId="42903A7C">
                  <w:pPr>
                    <w:spacing w:line="360" w:lineRule="exact"/>
                    <w:rPr>
                      <w:rFonts w:hint="eastAsia" w:ascii="宋体" w:hAnsi="宋体"/>
                      <w:color w:val="auto"/>
                      <w:szCs w:val="21"/>
                    </w:rPr>
                  </w:pPr>
                </w:p>
              </w:tc>
            </w:tr>
          </w:tbl>
          <w:p w14:paraId="128CC7B6">
            <w:pPr>
              <w:pageBreakBefore w:val="0"/>
              <w:kinsoku/>
              <w:overflowPunct/>
              <w:topLinePunct w:val="0"/>
              <w:autoSpaceDE/>
              <w:autoSpaceDN/>
              <w:bidi w:val="0"/>
              <w:spacing w:line="400" w:lineRule="exact"/>
              <w:ind w:firstLine="480" w:firstLineChars="200"/>
              <w:jc w:val="center"/>
              <w:textAlignment w:val="auto"/>
              <w:rPr>
                <w:rFonts w:hint="eastAsia"/>
                <w:color w:val="auto"/>
              </w:rPr>
            </w:pPr>
            <w:r>
              <w:rPr>
                <w:rFonts w:hint="eastAsia" w:ascii="宋体" w:hAnsi="宋体" w:eastAsia="宋体" w:cs="宋体"/>
                <w:color w:val="auto"/>
                <w:sz w:val="24"/>
                <w:szCs w:val="24"/>
                <w:highlight w:val="none"/>
                <w:lang w:val="en-US" w:eastAsia="zh-CN"/>
              </w:rPr>
              <w:t>护</w:t>
            </w:r>
            <w:r>
              <w:rPr>
                <w:rFonts w:hint="eastAsia" w:ascii="宋体" w:hAnsi="宋体" w:cs="宋体"/>
                <w:color w:val="auto"/>
                <w:sz w:val="24"/>
                <w:szCs w:val="24"/>
                <w:highlight w:val="none"/>
                <w:lang w:val="en-US" w:eastAsia="zh-CN"/>
              </w:rPr>
              <w:t>工人</w:t>
            </w:r>
            <w:r>
              <w:rPr>
                <w:rFonts w:hint="eastAsia" w:ascii="宋体" w:hAnsi="宋体" w:eastAsia="宋体" w:cs="宋体"/>
                <w:color w:val="auto"/>
                <w:sz w:val="24"/>
                <w:szCs w:val="24"/>
                <w:highlight w:val="none"/>
                <w:lang w:val="en-US" w:eastAsia="zh-CN"/>
              </w:rPr>
              <w:t>员服务质量评价标准（合格值≥</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分），考核低于</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0分值，为不合格。</w:t>
            </w:r>
          </w:p>
          <w:p w14:paraId="3290939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（七）其它要求：</w:t>
            </w:r>
          </w:p>
          <w:p w14:paraId="1D22F5A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服务期间，一个月内被患者或家属投诉一次罚款100元，第二次被投诉罚款200元，第三次被投诉罚款400元，执行翻倍式罚款制度。成交供应商短期内被投诉四次及以上，经查实确是成交供应商服务原因，采购人有权中止合同，成交供应商须赔偿因此给采购人造成的所有损失。</w:t>
            </w:r>
          </w:p>
          <w:p w14:paraId="21980F7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（2）医院考核低于80分将给予成交供应商2000元</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处罚。</w:t>
            </w:r>
          </w:p>
          <w:p w14:paraId="5E67666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风险责任认定</w:t>
            </w:r>
            <w:r>
              <w:rPr>
                <w:rFonts w:hint="eastAsia" w:ascii="宋体" w:hAnsi="宋体" w:eastAsia="宋体" w:cs="宋体"/>
                <w:color w:val="auto"/>
                <w:sz w:val="24"/>
                <w:szCs w:val="24"/>
                <w:highlight w:val="none"/>
                <w:lang w:eastAsia="zh-CN"/>
              </w:rPr>
              <w:t>：</w:t>
            </w:r>
          </w:p>
          <w:p w14:paraId="72408C8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公司所聘用的人员在</w:t>
            </w:r>
            <w:r>
              <w:rPr>
                <w:rFonts w:hint="eastAsia" w:ascii="宋体" w:hAnsi="宋体" w:eastAsia="宋体" w:cs="宋体"/>
                <w:color w:val="auto"/>
                <w:sz w:val="24"/>
                <w:szCs w:val="24"/>
                <w:highlight w:val="none"/>
                <w:lang w:val="en-US" w:eastAsia="zh-CN"/>
              </w:rPr>
              <w:t>服务期间因过错造成的纠纷和损失</w:t>
            </w:r>
            <w:r>
              <w:rPr>
                <w:rFonts w:hint="eastAsia" w:ascii="宋体" w:hAnsi="宋体" w:eastAsia="宋体" w:cs="宋体"/>
                <w:color w:val="auto"/>
                <w:sz w:val="24"/>
                <w:szCs w:val="24"/>
                <w:highlight w:val="none"/>
                <w:lang w:eastAsia="zh-TW"/>
              </w:rPr>
              <w:t>等均由</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TW"/>
              </w:rPr>
              <w:t>负责处理，并承担全部法律责任及经济赔偿。</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TW"/>
              </w:rPr>
              <w:t>及所聘用的人员在工作中因各种原因受到伤害或发生意外的，由</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公司负完全责任及经济赔偿。</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公司及所聘用的人员因违反法律法规及医院规章制度造成的损害及损失由公司承担责任，</w:t>
            </w:r>
            <w:r>
              <w:rPr>
                <w:rFonts w:hint="eastAsia" w:ascii="宋体" w:hAnsi="宋体" w:eastAsia="宋体" w:cs="宋体"/>
                <w:color w:val="auto"/>
                <w:sz w:val="24"/>
                <w:szCs w:val="24"/>
                <w:highlight w:val="none"/>
                <w:lang w:val="en-US" w:eastAsia="zh-CN"/>
              </w:rPr>
              <w:t>采购人不承担任何责任</w:t>
            </w:r>
            <w:r>
              <w:rPr>
                <w:rFonts w:hint="eastAsia" w:ascii="宋体" w:hAnsi="宋体" w:eastAsia="宋体" w:cs="宋体"/>
                <w:color w:val="auto"/>
                <w:sz w:val="24"/>
                <w:szCs w:val="24"/>
                <w:highlight w:val="none"/>
                <w:lang w:val="en-US" w:eastAsia="zh-TW"/>
              </w:rPr>
              <w:t>。</w:t>
            </w:r>
          </w:p>
          <w:p w14:paraId="3A8CEBF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TW"/>
              </w:rPr>
              <w:t>.</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公司服务所需的护工服装、</w:t>
            </w:r>
            <w:r>
              <w:rPr>
                <w:rFonts w:hint="eastAsia" w:ascii="宋体" w:hAnsi="宋体" w:eastAsia="宋体" w:cs="宋体"/>
                <w:color w:val="auto"/>
                <w:sz w:val="24"/>
                <w:szCs w:val="24"/>
                <w:highlight w:val="none"/>
                <w:lang w:val="en-US" w:eastAsia="zh-CN"/>
              </w:rPr>
              <w:t>护理用具/器材、</w:t>
            </w:r>
            <w:r>
              <w:rPr>
                <w:rFonts w:hint="eastAsia" w:ascii="宋体" w:hAnsi="宋体" w:eastAsia="宋体" w:cs="宋体"/>
                <w:color w:val="auto"/>
                <w:sz w:val="24"/>
                <w:szCs w:val="24"/>
                <w:highlight w:val="none"/>
                <w:lang w:val="en-US" w:eastAsia="zh-TW"/>
              </w:rPr>
              <w:t>办公设施由</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工公司自行提供。</w:t>
            </w:r>
          </w:p>
          <w:p w14:paraId="310AB0C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3.医院提供科室</w:t>
            </w:r>
            <w:r>
              <w:rPr>
                <w:rFonts w:hint="eastAsia" w:ascii="宋体" w:hAnsi="宋体" w:eastAsia="宋体" w:cs="宋体"/>
                <w:color w:val="auto"/>
                <w:sz w:val="24"/>
                <w:szCs w:val="24"/>
                <w:highlight w:val="none"/>
                <w:lang w:val="en-US" w:eastAsia="zh-TW"/>
              </w:rPr>
              <w:t>送药篮、标本箱供</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公司进行药品、标本运送工作；</w:t>
            </w:r>
            <w:r>
              <w:rPr>
                <w:rFonts w:hint="eastAsia" w:ascii="宋体" w:hAnsi="宋体" w:eastAsia="宋体" w:cs="宋体"/>
                <w:color w:val="auto"/>
                <w:sz w:val="24"/>
                <w:szCs w:val="24"/>
                <w:highlight w:val="none"/>
                <w:lang w:val="en-US" w:eastAsia="zh-CN"/>
              </w:rPr>
              <w:t>提供科室轮椅、平车供</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公司护送患者检查治疗用，由医院负责车辆正常维修。</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公司应爱护使用，属护工人为损坏的由</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公司负责赔偿，因设备的损耗及非</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公司的损坏的则由医院负责维修。</w:t>
            </w:r>
          </w:p>
          <w:p w14:paraId="79048D8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（4）供应商必须在响应文件中对以上条款和服务承诺明确列出，承诺内容必须达到本篇采购文件要求。</w:t>
            </w:r>
          </w:p>
          <w:p w14:paraId="1C585CB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（5）其他未尽事宜由供需双方在采购合同中详细约定。</w:t>
            </w:r>
          </w:p>
          <w:p w14:paraId="40FA547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（八）若发生以下情形之一，采购人有权单方面解除本合同而无需承担违约责任： </w:t>
            </w:r>
          </w:p>
          <w:p w14:paraId="51EE78D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（1）政府部门政策调整或上级部门的行政命令。 </w:t>
            </w:r>
          </w:p>
          <w:p w14:paraId="3B6CC9D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（2）成交供应商短期内被投诉四次及以上，经查实确是成交供应商服务原因，采购人有权中止合同，成交供应商须赔偿因此给采购人造成的所有损失。 </w:t>
            </w:r>
          </w:p>
          <w:p w14:paraId="53DD342E">
            <w:pPr>
              <w:pageBreakBefore w:val="0"/>
              <w:kinsoku/>
              <w:overflowPunct/>
              <w:topLinePunct w:val="0"/>
              <w:autoSpaceDE/>
              <w:autoSpaceDN/>
              <w:bidi w:val="0"/>
              <w:spacing w:line="400" w:lineRule="exact"/>
              <w:ind w:firstLine="480" w:firstLineChars="200"/>
              <w:textAlignment w:val="auto"/>
              <w:rPr>
                <w:rFonts w:hint="eastAsia"/>
                <w:color w:val="auto"/>
                <w:lang w:val="en-US" w:eastAsia="zh-CN"/>
              </w:rPr>
            </w:pPr>
            <w:r>
              <w:rPr>
                <w:rFonts w:hint="eastAsia" w:ascii="宋体" w:hAnsi="宋体" w:eastAsia="宋体" w:cs="宋体"/>
                <w:color w:val="auto"/>
                <w:sz w:val="24"/>
                <w:szCs w:val="24"/>
                <w:highlight w:val="none"/>
                <w:lang w:val="en-US" w:eastAsia="zh-CN"/>
              </w:rPr>
              <w:t>（3）每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lang w:val="en-US" w:eastAsia="zh-CN"/>
              </w:rPr>
              <w:t>考核</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lang w:val="en-US" w:eastAsia="zh-CN"/>
              </w:rPr>
              <w:t>合格，累计超过2次，采购人有权终止履约合同，中标公司有责任并赔偿相应的所有损失。</w:t>
            </w:r>
          </w:p>
          <w:p w14:paraId="2942F60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（4）成交供应商丧失民事主体及经营资格的。</w:t>
            </w:r>
          </w:p>
          <w:p w14:paraId="0FD51EC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（5）成交供应商在陪护管理过程中出现严重违法犯罪行为的。 </w:t>
            </w:r>
          </w:p>
          <w:p w14:paraId="78631AF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（6）成交供应商擅自将本合同项下权利及义务转让给他人的。</w:t>
            </w:r>
          </w:p>
          <w:p w14:paraId="676C7CA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因成交供应商原因导致合同解除的，采购人有权解除起合同，并没收其履约</w:t>
            </w:r>
            <w:r>
              <w:rPr>
                <w:rFonts w:hint="eastAsia" w:ascii="宋体" w:hAnsi="宋体" w:cs="宋体"/>
                <w:color w:val="auto"/>
                <w:sz w:val="24"/>
                <w:szCs w:val="24"/>
                <w:highlight w:val="none"/>
                <w:lang w:val="en-US" w:eastAsia="zh-CN"/>
              </w:rPr>
              <w:t>风险金</w:t>
            </w:r>
            <w:r>
              <w:rPr>
                <w:rFonts w:hint="eastAsia" w:ascii="宋体" w:hAnsi="宋体" w:eastAsia="宋体" w:cs="宋体"/>
                <w:color w:val="auto"/>
                <w:sz w:val="24"/>
                <w:szCs w:val="24"/>
                <w:highlight w:val="none"/>
                <w:lang w:val="en-US" w:eastAsia="zh-CN"/>
              </w:rPr>
              <w:t>，由此给</w:t>
            </w:r>
            <w:r>
              <w:rPr>
                <w:rFonts w:hint="eastAsia" w:ascii="宋体" w:hAnsi="宋体"/>
                <w:color w:val="auto"/>
                <w:szCs w:val="21"/>
              </w:rPr>
              <w:t>采购</w:t>
            </w:r>
            <w:r>
              <w:rPr>
                <w:rFonts w:hint="eastAsia" w:ascii="宋体" w:hAnsi="宋体" w:eastAsia="宋体" w:cs="宋体"/>
                <w:color w:val="auto"/>
                <w:sz w:val="24"/>
                <w:szCs w:val="24"/>
                <w:highlight w:val="none"/>
                <w:lang w:val="en-US" w:eastAsia="zh-CN"/>
              </w:rPr>
              <w:t>人和成交人造成的经济损失均由成交供应商自行承担。</w:t>
            </w:r>
          </w:p>
          <w:p w14:paraId="7F93255B">
            <w:pPr>
              <w:pageBreakBefore w:val="0"/>
              <w:numPr>
                <w:ilvl w:val="0"/>
                <w:numId w:val="0"/>
              </w:numPr>
              <w:kinsoku/>
              <w:overflowPunct/>
              <w:topLinePunct w:val="0"/>
              <w:autoSpaceDE/>
              <w:autoSpaceDN/>
              <w:bidi w:val="0"/>
              <w:snapToGrid w:val="0"/>
              <w:spacing w:line="400" w:lineRule="exact"/>
              <w:ind w:firstLine="480" w:firstLineChars="200"/>
              <w:jc w:val="left"/>
              <w:textAlignment w:val="auto"/>
              <w:rPr>
                <w:rFonts w:hint="eastAsia"/>
                <w:color w:val="auto"/>
                <w:lang w:val="en-US" w:eastAsia="zh-CN"/>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三、</w:t>
            </w:r>
            <w:r>
              <w:rPr>
                <w:rFonts w:ascii="宋体" w:hAnsi="宋体" w:cs="宋体"/>
                <w:b/>
                <w:bCs/>
                <w:color w:val="auto"/>
                <w:sz w:val="24"/>
                <w:szCs w:val="24"/>
                <w:highlight w:val="none"/>
              </w:rPr>
              <w:t>商务要求</w:t>
            </w:r>
          </w:p>
          <w:p w14:paraId="2AD8831F">
            <w:pPr>
              <w:pageBreakBefore w:val="0"/>
              <w:numPr>
                <w:ilvl w:val="0"/>
                <w:numId w:val="0"/>
              </w:numPr>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44" w:name="_Toc499107474"/>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服务时间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服务地点</w:t>
            </w:r>
          </w:p>
          <w:p w14:paraId="7A4E6D33">
            <w:pPr>
              <w:pageBreakBefore w:val="0"/>
              <w:kinsoku/>
              <w:overflowPunct/>
              <w:topLinePunct w:val="0"/>
              <w:autoSpaceDE/>
              <w:autoSpaceDN/>
              <w:bidi w:val="0"/>
              <w:snapToGrid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服务时间</w:t>
            </w:r>
            <w:r>
              <w:rPr>
                <w:rFonts w:hint="eastAsia" w:ascii="宋体" w:hAnsi="宋体" w:cs="宋体"/>
                <w:b w:val="0"/>
                <w:bCs w:val="0"/>
                <w:color w:val="auto"/>
                <w:sz w:val="24"/>
                <w:szCs w:val="24"/>
                <w:highlight w:val="none"/>
                <w:lang w:eastAsia="zh-CN"/>
              </w:rPr>
              <w:t>：合同签订之日起</w:t>
            </w:r>
            <w:r>
              <w:rPr>
                <w:rFonts w:hint="eastAsia" w:ascii="宋体" w:hAnsi="宋体" w:cs="宋体"/>
                <w:b w:val="0"/>
                <w:bCs w:val="0"/>
                <w:color w:val="auto"/>
                <w:sz w:val="24"/>
                <w:szCs w:val="24"/>
                <w:highlight w:val="none"/>
                <w:lang w:val="en-US" w:eastAsia="zh-CN"/>
              </w:rPr>
              <w:t>1年。</w:t>
            </w:r>
          </w:p>
          <w:p w14:paraId="25DB9E88">
            <w:pPr>
              <w:pageBreakBefore w:val="0"/>
              <w:kinsoku/>
              <w:overflowPunct/>
              <w:topLinePunct w:val="0"/>
              <w:autoSpaceDE/>
              <w:autoSpaceDN/>
              <w:bidi w:val="0"/>
              <w:snapToGrid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服务地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重庆市九龙坡区中医院</w:t>
            </w:r>
          </w:p>
          <w:p w14:paraId="7C18FE20">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i w:val="0"/>
                <w:iCs w:val="0"/>
                <w:caps w:val="0"/>
                <w:color w:val="auto"/>
                <w:spacing w:val="0"/>
                <w:sz w:val="24"/>
                <w:szCs w:val="24"/>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陪护费：</w:t>
            </w:r>
            <w:r>
              <w:rPr>
                <w:rFonts w:hint="eastAsia" w:ascii="宋体" w:hAnsi="宋体" w:eastAsia="宋体" w:cs="宋体"/>
                <w:i w:val="0"/>
                <w:iCs w:val="0"/>
                <w:caps w:val="0"/>
                <w:color w:val="auto"/>
                <w:spacing w:val="0"/>
                <w:sz w:val="24"/>
                <w:szCs w:val="24"/>
                <w:lang w:eastAsia="zh-CN"/>
              </w:rPr>
              <w:t>制定</w:t>
            </w:r>
            <w:r>
              <w:rPr>
                <w:rFonts w:hint="eastAsia" w:ascii="宋体" w:hAnsi="宋体" w:eastAsia="宋体" w:cs="宋体"/>
                <w:i w:val="0"/>
                <w:iCs w:val="0"/>
                <w:caps w:val="0"/>
                <w:color w:val="auto"/>
                <w:spacing w:val="0"/>
                <w:sz w:val="24"/>
                <w:szCs w:val="24"/>
              </w:rPr>
              <w:t>服务类型</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包括服务项目、服务内容、服务质量</w:t>
            </w:r>
            <w:r>
              <w:rPr>
                <w:rFonts w:hint="eastAsia" w:ascii="宋体" w:hAnsi="宋体" w:eastAsia="宋体" w:cs="宋体"/>
                <w:i w:val="0"/>
                <w:iCs w:val="0"/>
                <w:caps w:val="0"/>
                <w:color w:val="auto"/>
                <w:spacing w:val="0"/>
                <w:sz w:val="24"/>
                <w:szCs w:val="24"/>
                <w:lang w:eastAsia="zh-CN"/>
              </w:rPr>
              <w:t>等）</w:t>
            </w:r>
            <w:r>
              <w:rPr>
                <w:rFonts w:hint="eastAsia" w:ascii="宋体" w:hAnsi="宋体" w:eastAsia="宋体" w:cs="宋体"/>
                <w:i w:val="0"/>
                <w:iCs w:val="0"/>
                <w:caps w:val="0"/>
                <w:color w:val="auto"/>
                <w:spacing w:val="0"/>
                <w:sz w:val="24"/>
                <w:szCs w:val="24"/>
              </w:rPr>
              <w:t>及等级护理服务报价明细表。</w:t>
            </w:r>
            <w:r>
              <w:rPr>
                <w:rFonts w:hint="eastAsia" w:ascii="宋体" w:hAnsi="宋体" w:cs="宋体"/>
                <w:color w:val="auto"/>
                <w:sz w:val="24"/>
                <w:szCs w:val="24"/>
                <w:lang w:eastAsia="zh-CN"/>
              </w:rPr>
              <w:t>陪护</w:t>
            </w:r>
            <w:r>
              <w:rPr>
                <w:rFonts w:hint="eastAsia" w:ascii="宋体" w:hAnsi="宋体" w:eastAsia="宋体" w:cs="宋体"/>
                <w:color w:val="auto"/>
                <w:sz w:val="24"/>
                <w:szCs w:val="24"/>
              </w:rPr>
              <w:t>公司与患者或家属</w:t>
            </w:r>
            <w:r>
              <w:rPr>
                <w:rFonts w:hint="eastAsia" w:ascii="宋体" w:hAnsi="宋体" w:eastAsia="宋体" w:cs="宋体"/>
                <w:color w:val="auto"/>
                <w:sz w:val="24"/>
                <w:szCs w:val="24"/>
                <w:lang w:eastAsia="zh-CN"/>
              </w:rPr>
              <w:t>自愿达成协议</w:t>
            </w:r>
            <w:r>
              <w:rPr>
                <w:rFonts w:hint="eastAsia" w:ascii="宋体" w:hAnsi="宋体" w:eastAsia="宋体" w:cs="宋体"/>
                <w:color w:val="auto"/>
                <w:sz w:val="24"/>
                <w:szCs w:val="24"/>
                <w:lang w:val="en-US" w:eastAsia="zh-CN"/>
              </w:rPr>
              <w:t>签订同意书后，</w:t>
            </w:r>
            <w:r>
              <w:rPr>
                <w:rFonts w:hint="eastAsia" w:ascii="宋体" w:hAnsi="宋体" w:eastAsia="宋体" w:cs="宋体"/>
                <w:color w:val="auto"/>
                <w:sz w:val="24"/>
                <w:szCs w:val="24"/>
              </w:rPr>
              <w:t>为患者提供护工陪护服务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收取服务费</w:t>
            </w:r>
            <w:r>
              <w:rPr>
                <w:rFonts w:hint="eastAsia" w:ascii="宋体" w:hAnsi="宋体" w:eastAsia="宋体" w:cs="宋体"/>
                <w:i w:val="0"/>
                <w:iCs w:val="0"/>
                <w:caps w:val="0"/>
                <w:color w:val="auto"/>
                <w:spacing w:val="0"/>
                <w:sz w:val="24"/>
                <w:szCs w:val="24"/>
              </w:rPr>
              <w:t>。陪护费标准不能随意变动，</w:t>
            </w:r>
            <w:r>
              <w:rPr>
                <w:rFonts w:hint="eastAsia" w:ascii="宋体" w:hAnsi="宋体" w:cs="宋体"/>
                <w:i w:val="0"/>
                <w:iCs w:val="0"/>
                <w:caps w:val="0"/>
                <w:color w:val="auto"/>
                <w:spacing w:val="0"/>
                <w:sz w:val="24"/>
                <w:szCs w:val="24"/>
                <w:lang w:val="en-US" w:eastAsia="zh-CN"/>
              </w:rPr>
              <w:t>全院执行统一标准，</w:t>
            </w:r>
            <w:r>
              <w:rPr>
                <w:rFonts w:hint="eastAsia" w:ascii="宋体" w:hAnsi="宋体" w:eastAsia="宋体" w:cs="宋体"/>
                <w:i w:val="0"/>
                <w:iCs w:val="0"/>
                <w:caps w:val="0"/>
                <w:color w:val="auto"/>
                <w:spacing w:val="0"/>
                <w:sz w:val="24"/>
                <w:szCs w:val="24"/>
              </w:rPr>
              <w:t>若需变动须经采购人同意。</w:t>
            </w:r>
          </w:p>
          <w:p w14:paraId="3F34C07E">
            <w:pPr>
              <w:snapToGrid w:val="0"/>
              <w:spacing w:line="400" w:lineRule="exact"/>
              <w:ind w:firstLine="482" w:firstLineChars="200"/>
              <w:jc w:val="left"/>
              <w:rPr>
                <w:rFonts w:hint="eastAsia" w:ascii="方正仿宋_GBK" w:hAnsi="宋体" w:eastAsia="方正仿宋_GBK"/>
                <w:b/>
                <w:color w:val="auto"/>
                <w:sz w:val="24"/>
                <w:szCs w:val="24"/>
                <w:lang w:eastAsia="zh-CN"/>
              </w:rPr>
            </w:pPr>
            <w:r>
              <w:rPr>
                <w:rFonts w:hint="eastAsia" w:ascii="宋体" w:hAnsi="宋体" w:cs="宋体"/>
                <w:b/>
                <w:bCs/>
                <w:color w:val="auto"/>
                <w:sz w:val="24"/>
                <w:szCs w:val="24"/>
                <w:highlight w:val="none"/>
                <w:lang w:eastAsia="zh-CN"/>
              </w:rPr>
              <w:t>（三）</w:t>
            </w:r>
            <w:r>
              <w:rPr>
                <w:rFonts w:hint="eastAsia" w:ascii="方正仿宋_GBK" w:hAnsi="宋体" w:eastAsia="方正仿宋_GBK"/>
                <w:b/>
                <w:color w:val="auto"/>
                <w:sz w:val="24"/>
                <w:szCs w:val="24"/>
              </w:rPr>
              <w:t>履约</w:t>
            </w:r>
            <w:r>
              <w:rPr>
                <w:rFonts w:hint="eastAsia" w:ascii="方正仿宋_GBK" w:hAnsi="宋体" w:eastAsia="方正仿宋_GBK"/>
                <w:b/>
                <w:color w:val="auto"/>
                <w:sz w:val="24"/>
                <w:szCs w:val="24"/>
                <w:lang w:eastAsia="zh-CN"/>
              </w:rPr>
              <w:t>风险金</w:t>
            </w:r>
          </w:p>
          <w:p w14:paraId="0E44737E">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履约</w:t>
            </w:r>
            <w:r>
              <w:rPr>
                <w:rFonts w:hint="eastAsia" w:ascii="宋体" w:hAnsi="宋体" w:cs="宋体"/>
                <w:i w:val="0"/>
                <w:iCs w:val="0"/>
                <w:caps w:val="0"/>
                <w:color w:val="auto"/>
                <w:spacing w:val="0"/>
                <w:sz w:val="24"/>
                <w:szCs w:val="24"/>
                <w:lang w:val="en-US" w:eastAsia="zh-CN"/>
              </w:rPr>
              <w:t>保证</w:t>
            </w:r>
            <w:r>
              <w:rPr>
                <w:rFonts w:hint="eastAsia" w:ascii="宋体" w:hAnsi="宋体" w:eastAsia="宋体" w:cs="宋体"/>
                <w:i w:val="0"/>
                <w:iCs w:val="0"/>
                <w:caps w:val="0"/>
                <w:color w:val="auto"/>
                <w:spacing w:val="0"/>
                <w:sz w:val="24"/>
                <w:szCs w:val="24"/>
                <w:lang w:eastAsia="zh-CN"/>
              </w:rPr>
              <w:t>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i w:val="0"/>
                <w:iCs w:val="0"/>
                <w:caps w:val="0"/>
                <w:color w:val="auto"/>
                <w:spacing w:val="0"/>
                <w:sz w:val="24"/>
                <w:szCs w:val="24"/>
                <w:lang w:eastAsia="zh-CN"/>
              </w:rPr>
              <w:t>履约风险金为20000.00元（大写：贰万元整）</w:t>
            </w:r>
            <w:r>
              <w:rPr>
                <w:rFonts w:hint="eastAsia" w:ascii="宋体" w:hAnsi="宋体" w:cs="宋体"/>
                <w:i w:val="0"/>
                <w:iCs w:val="0"/>
                <w:caps w:val="0"/>
                <w:color w:val="auto"/>
                <w:spacing w:val="0"/>
                <w:sz w:val="24"/>
                <w:szCs w:val="24"/>
                <w:lang w:eastAsia="zh-CN"/>
              </w:rPr>
              <w:t>。</w:t>
            </w:r>
          </w:p>
          <w:p w14:paraId="79008C72">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成交供应商须在</w:t>
            </w:r>
            <w:r>
              <w:rPr>
                <w:rFonts w:hint="eastAsia" w:ascii="宋体" w:hAnsi="宋体" w:eastAsia="宋体" w:cs="宋体"/>
                <w:i w:val="0"/>
                <w:iCs w:val="0"/>
                <w:caps w:val="0"/>
                <w:color w:val="auto"/>
                <w:spacing w:val="0"/>
                <w:sz w:val="24"/>
                <w:szCs w:val="24"/>
                <w:lang w:eastAsia="zh-CN"/>
              </w:rPr>
              <w:t>签订合同前</w:t>
            </w:r>
            <w:r>
              <w:rPr>
                <w:rFonts w:hint="eastAsia" w:ascii="宋体" w:hAnsi="宋体" w:cs="宋体"/>
                <w:i w:val="0"/>
                <w:iCs w:val="0"/>
                <w:caps w:val="0"/>
                <w:color w:val="auto"/>
                <w:spacing w:val="0"/>
                <w:sz w:val="24"/>
                <w:szCs w:val="24"/>
                <w:lang w:eastAsia="zh-CN"/>
              </w:rPr>
              <w:t>以银行</w:t>
            </w:r>
            <w:r>
              <w:rPr>
                <w:rFonts w:hint="eastAsia" w:ascii="宋体" w:hAnsi="宋体" w:eastAsia="宋体" w:cs="宋体"/>
                <w:i w:val="0"/>
                <w:iCs w:val="0"/>
                <w:caps w:val="0"/>
                <w:color w:val="auto"/>
                <w:spacing w:val="0"/>
                <w:sz w:val="24"/>
                <w:szCs w:val="24"/>
              </w:rPr>
              <w:t>账等非现金形式足额缴纳；未缴纳履约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金则</w:t>
            </w:r>
            <w:r>
              <w:rPr>
                <w:rFonts w:hint="eastAsia" w:ascii="宋体" w:hAnsi="宋体" w:eastAsia="宋体" w:cs="宋体"/>
                <w:i w:val="0"/>
                <w:iCs w:val="0"/>
                <w:caps w:val="0"/>
                <w:color w:val="auto"/>
                <w:spacing w:val="0"/>
                <w:sz w:val="24"/>
                <w:szCs w:val="24"/>
              </w:rPr>
              <w:t>按自动放弃成交处理。</w:t>
            </w:r>
          </w:p>
          <w:p w14:paraId="3D9AC369">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w:t>
            </w:r>
            <w:r>
              <w:rPr>
                <w:rFonts w:hint="eastAsia" w:ascii="宋体" w:hAnsi="宋体" w:eastAsia="宋体" w:cs="宋体"/>
                <w:i w:val="0"/>
                <w:iCs w:val="0"/>
                <w:caps w:val="0"/>
                <w:color w:val="auto"/>
                <w:spacing w:val="0"/>
                <w:sz w:val="24"/>
                <w:szCs w:val="24"/>
              </w:rPr>
              <w:t>扣除情形</w:t>
            </w:r>
          </w:p>
          <w:p w14:paraId="6C418D5B">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在合同履行过程中，</w:t>
            </w:r>
            <w:r>
              <w:rPr>
                <w:rFonts w:hint="eastAsia" w:ascii="宋体" w:hAnsi="宋体" w:cs="宋体"/>
                <w:i w:val="0"/>
                <w:iCs w:val="0"/>
                <w:caps w:val="0"/>
                <w:color w:val="auto"/>
                <w:spacing w:val="0"/>
                <w:sz w:val="24"/>
                <w:szCs w:val="24"/>
                <w:lang w:val="en-US" w:eastAsia="zh-CN"/>
              </w:rPr>
              <w:t>要求每月20日前</w:t>
            </w:r>
            <w:r>
              <w:rPr>
                <w:rFonts w:hint="eastAsia" w:ascii="宋体" w:hAnsi="宋体" w:eastAsia="宋体" w:cs="宋体"/>
                <w:i w:val="0"/>
                <w:iCs w:val="0"/>
                <w:caps w:val="0"/>
                <w:color w:val="auto"/>
                <w:spacing w:val="0"/>
                <w:sz w:val="24"/>
                <w:szCs w:val="24"/>
              </w:rPr>
              <w:t>按时缴纳项目</w:t>
            </w:r>
            <w:r>
              <w:rPr>
                <w:rFonts w:hint="eastAsia" w:ascii="宋体" w:hAnsi="宋体" w:eastAsia="宋体" w:cs="宋体"/>
                <w:i w:val="0"/>
                <w:iCs w:val="0"/>
                <w:caps w:val="0"/>
                <w:color w:val="auto"/>
                <w:spacing w:val="0"/>
                <w:sz w:val="24"/>
                <w:szCs w:val="24"/>
                <w:lang w:eastAsia="zh-CN"/>
              </w:rPr>
              <w:t>能源消耗</w:t>
            </w:r>
            <w:r>
              <w:rPr>
                <w:rFonts w:hint="eastAsia" w:ascii="宋体" w:hAnsi="宋体" w:eastAsia="宋体" w:cs="宋体"/>
                <w:i w:val="0"/>
                <w:iCs w:val="0"/>
                <w:caps w:val="0"/>
                <w:color w:val="auto"/>
                <w:spacing w:val="0"/>
                <w:sz w:val="24"/>
                <w:szCs w:val="24"/>
              </w:rPr>
              <w:t>费，每延迟</w:t>
            </w:r>
            <w:r>
              <w:rPr>
                <w:rFonts w:hint="eastAsia" w:ascii="宋体" w:hAnsi="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val="en-US" w:eastAsia="zh-CN"/>
              </w:rPr>
              <w:t>周</w:t>
            </w:r>
            <w:r>
              <w:rPr>
                <w:rFonts w:hint="eastAsia" w:ascii="宋体" w:hAnsi="宋体" w:eastAsia="宋体" w:cs="宋体"/>
                <w:i w:val="0"/>
                <w:iCs w:val="0"/>
                <w:caps w:val="0"/>
                <w:color w:val="auto"/>
                <w:spacing w:val="0"/>
                <w:sz w:val="24"/>
                <w:szCs w:val="24"/>
              </w:rPr>
              <w:t>扣除履约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w:t>
            </w:r>
            <w:r>
              <w:rPr>
                <w:rFonts w:hint="eastAsia" w:ascii="宋体" w:hAnsi="宋体" w:cs="宋体"/>
                <w:i w:val="0"/>
                <w:iCs w:val="0"/>
                <w:caps w:val="0"/>
                <w:color w:val="auto"/>
                <w:spacing w:val="0"/>
                <w:sz w:val="24"/>
                <w:szCs w:val="24"/>
                <w:lang w:val="en-US" w:eastAsia="zh-CN"/>
              </w:rPr>
              <w:t>0.1</w:t>
            </w:r>
            <w:r>
              <w:rPr>
                <w:rFonts w:hint="eastAsia" w:ascii="宋体" w:hAnsi="宋体" w:eastAsia="宋体" w:cs="宋体"/>
                <w:i w:val="0"/>
                <w:iCs w:val="0"/>
                <w:caps w:val="0"/>
                <w:color w:val="auto"/>
                <w:spacing w:val="0"/>
                <w:sz w:val="24"/>
                <w:szCs w:val="24"/>
              </w:rPr>
              <w:t>%；扣完为止。</w:t>
            </w:r>
          </w:p>
          <w:p w14:paraId="7D3D77E7">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成交供应商应在服务期间严格执行合同约定</w:t>
            </w:r>
            <w:r>
              <w:rPr>
                <w:rFonts w:hint="eastAsia" w:ascii="宋体" w:hAnsi="宋体" w:eastAsia="宋体" w:cs="宋体"/>
                <w:i w:val="0"/>
                <w:iCs w:val="0"/>
                <w:caps w:val="0"/>
                <w:color w:val="auto"/>
                <w:spacing w:val="0"/>
                <w:sz w:val="24"/>
                <w:szCs w:val="24"/>
                <w:highlight w:val="none"/>
              </w:rPr>
              <w:t>，</w:t>
            </w:r>
            <w:r>
              <w:rPr>
                <w:color w:val="auto"/>
                <w:highlight w:val="none"/>
              </w:rPr>
              <w:t>因成交供货商的陪护人员</w:t>
            </w:r>
            <w:r>
              <w:rPr>
                <w:rFonts w:hint="eastAsia"/>
                <w:color w:val="auto"/>
                <w:highlight w:val="none"/>
                <w:lang w:eastAsia="zh-CN"/>
              </w:rPr>
              <w:t>在</w:t>
            </w:r>
            <w:r>
              <w:rPr>
                <w:color w:val="auto"/>
                <w:highlight w:val="none"/>
              </w:rPr>
              <w:t>陪护期间引起的病人各种受伤、意外等造成的损失由成交供货商自行承担，同时给医院造成的损失从履约风险金中</w:t>
            </w:r>
            <w:r>
              <w:rPr>
                <w:rFonts w:hint="eastAsia" w:ascii="宋体" w:hAnsi="宋体" w:eastAsia="宋体" w:cs="宋体"/>
                <w:i w:val="0"/>
                <w:iCs w:val="0"/>
                <w:caps w:val="0"/>
                <w:color w:val="auto"/>
                <w:spacing w:val="0"/>
                <w:sz w:val="24"/>
                <w:szCs w:val="24"/>
                <w:highlight w:val="none"/>
              </w:rPr>
              <w:t>扣</w:t>
            </w:r>
            <w:r>
              <w:rPr>
                <w:rFonts w:hint="eastAsia" w:ascii="宋体" w:hAnsi="宋体" w:cs="宋体"/>
                <w:i w:val="0"/>
                <w:iCs w:val="0"/>
                <w:caps w:val="0"/>
                <w:color w:val="auto"/>
                <w:spacing w:val="0"/>
                <w:sz w:val="24"/>
                <w:szCs w:val="24"/>
                <w:highlight w:val="none"/>
                <w:lang w:eastAsia="zh-CN"/>
              </w:rPr>
              <w:t>除</w:t>
            </w:r>
            <w:r>
              <w:rPr>
                <w:rFonts w:hint="eastAsia" w:ascii="宋体" w:hAnsi="宋体" w:eastAsia="宋体" w:cs="宋体"/>
                <w:i w:val="0"/>
                <w:iCs w:val="0"/>
                <w:caps w:val="0"/>
                <w:color w:val="auto"/>
                <w:spacing w:val="0"/>
                <w:sz w:val="24"/>
                <w:szCs w:val="24"/>
                <w:highlight w:val="none"/>
              </w:rPr>
              <w:t>相应损失，履约</w:t>
            </w:r>
            <w:r>
              <w:rPr>
                <w:rFonts w:hint="eastAsia" w:ascii="宋体" w:hAnsi="宋体" w:cs="宋体"/>
                <w:i w:val="0"/>
                <w:iCs w:val="0"/>
                <w:caps w:val="0"/>
                <w:color w:val="auto"/>
                <w:spacing w:val="0"/>
                <w:sz w:val="24"/>
                <w:szCs w:val="24"/>
                <w:highlight w:val="none"/>
                <w:lang w:eastAsia="zh-CN"/>
              </w:rPr>
              <w:t>风险金</w:t>
            </w:r>
            <w:r>
              <w:rPr>
                <w:rFonts w:hint="eastAsia" w:ascii="宋体" w:hAnsi="宋体" w:eastAsia="宋体" w:cs="宋体"/>
                <w:i w:val="0"/>
                <w:iCs w:val="0"/>
                <w:caps w:val="0"/>
                <w:color w:val="auto"/>
                <w:spacing w:val="0"/>
                <w:sz w:val="24"/>
                <w:szCs w:val="24"/>
                <w:highlight w:val="none"/>
              </w:rPr>
              <w:t>不足以抵扣损失的部分由成交供</w:t>
            </w:r>
            <w:r>
              <w:rPr>
                <w:rFonts w:hint="eastAsia" w:ascii="宋体" w:hAnsi="宋体" w:eastAsia="宋体" w:cs="宋体"/>
                <w:i w:val="0"/>
                <w:iCs w:val="0"/>
                <w:caps w:val="0"/>
                <w:color w:val="auto"/>
                <w:spacing w:val="0"/>
                <w:sz w:val="24"/>
                <w:szCs w:val="24"/>
              </w:rPr>
              <w:t>应商补齐。</w:t>
            </w:r>
          </w:p>
          <w:p w14:paraId="2755902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服务期满且成交供应商无违约或履约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扣除情形的，</w:t>
            </w:r>
            <w:r>
              <w:rPr>
                <w:rFonts w:hint="eastAsia" w:ascii="宋体" w:hAnsi="宋体" w:eastAsia="宋体" w:cs="宋体"/>
                <w:i w:val="0"/>
                <w:iCs w:val="0"/>
                <w:caps w:val="0"/>
                <w:color w:val="auto"/>
                <w:spacing w:val="0"/>
                <w:sz w:val="24"/>
                <w:szCs w:val="24"/>
                <w:lang w:eastAsia="zh-CN"/>
              </w:rPr>
              <w:t>成交供应商提交申请采购人</w:t>
            </w:r>
            <w:r>
              <w:rPr>
                <w:rFonts w:hint="eastAsia" w:ascii="宋体" w:hAnsi="宋体" w:eastAsia="宋体" w:cs="宋体"/>
                <w:i w:val="0"/>
                <w:iCs w:val="0"/>
                <w:caps w:val="0"/>
                <w:color w:val="auto"/>
                <w:spacing w:val="0"/>
                <w:sz w:val="24"/>
                <w:szCs w:val="24"/>
              </w:rPr>
              <w:t>按</w:t>
            </w:r>
            <w:r>
              <w:rPr>
                <w:rFonts w:hint="eastAsia" w:ascii="宋体" w:hAnsi="宋体" w:cs="宋体"/>
                <w:i w:val="0"/>
                <w:iCs w:val="0"/>
                <w:caps w:val="0"/>
                <w:color w:val="auto"/>
                <w:spacing w:val="0"/>
                <w:sz w:val="24"/>
                <w:szCs w:val="24"/>
                <w:lang w:eastAsia="zh-CN"/>
              </w:rPr>
              <w:t>流程</w:t>
            </w:r>
            <w:r>
              <w:rPr>
                <w:rFonts w:hint="eastAsia" w:ascii="宋体" w:hAnsi="宋体" w:eastAsia="宋体" w:cs="宋体"/>
                <w:i w:val="0"/>
                <w:iCs w:val="0"/>
                <w:caps w:val="0"/>
                <w:color w:val="auto"/>
                <w:spacing w:val="0"/>
                <w:sz w:val="24"/>
                <w:szCs w:val="24"/>
              </w:rPr>
              <w:t>无息退还相应履约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w:t>
            </w:r>
          </w:p>
          <w:p w14:paraId="460DF9D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（五）收款人信息：</w:t>
            </w:r>
          </w:p>
          <w:p w14:paraId="333E0308">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收款单位：</w:t>
            </w:r>
            <w:r>
              <w:rPr>
                <w:rFonts w:hint="eastAsia" w:ascii="宋体" w:hAnsi="宋体" w:cs="宋体"/>
                <w:i w:val="0"/>
                <w:iCs w:val="0"/>
                <w:caps w:val="0"/>
                <w:color w:val="auto"/>
                <w:spacing w:val="0"/>
                <w:sz w:val="24"/>
                <w:szCs w:val="24"/>
                <w:lang w:val="en-US" w:eastAsia="zh-CN"/>
              </w:rPr>
              <w:t>重庆市九龙坡区中医院</w:t>
            </w:r>
          </w:p>
          <w:p w14:paraId="7F61B19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开户银行：</w:t>
            </w:r>
            <w:r>
              <w:rPr>
                <w:rFonts w:hint="eastAsia" w:ascii="宋体" w:hAnsi="宋体" w:cs="宋体"/>
                <w:i w:val="0"/>
                <w:iCs w:val="0"/>
                <w:caps w:val="0"/>
                <w:color w:val="auto"/>
                <w:spacing w:val="0"/>
                <w:sz w:val="24"/>
                <w:szCs w:val="24"/>
                <w:lang w:val="en-US" w:eastAsia="zh-CN"/>
              </w:rPr>
              <w:t>重庆市农村商业银行九龙坡支行马王乡分理处</w:t>
            </w:r>
          </w:p>
          <w:p w14:paraId="29F239D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账号：</w:t>
            </w:r>
            <w:r>
              <w:rPr>
                <w:rFonts w:hint="eastAsia" w:ascii="宋体" w:hAnsi="宋体" w:cs="宋体"/>
                <w:i w:val="0"/>
                <w:iCs w:val="0"/>
                <w:caps w:val="0"/>
                <w:color w:val="auto"/>
                <w:spacing w:val="0"/>
                <w:sz w:val="24"/>
                <w:szCs w:val="24"/>
                <w:lang w:val="en-US" w:eastAsia="zh-CN"/>
              </w:rPr>
              <w:t>0401050120010001415</w:t>
            </w:r>
          </w:p>
          <w:p w14:paraId="054780A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纳税人识别号：</w:t>
            </w:r>
            <w:r>
              <w:rPr>
                <w:rFonts w:hint="eastAsia" w:ascii="宋体" w:hAnsi="宋体" w:cs="宋体"/>
                <w:i w:val="0"/>
                <w:iCs w:val="0"/>
                <w:caps w:val="0"/>
                <w:color w:val="auto"/>
                <w:spacing w:val="0"/>
                <w:sz w:val="24"/>
                <w:szCs w:val="24"/>
                <w:lang w:val="en-US" w:eastAsia="zh-CN"/>
              </w:rPr>
              <w:t>125001074504482324</w:t>
            </w:r>
          </w:p>
          <w:p w14:paraId="2E90E93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地址：</w:t>
            </w:r>
            <w:r>
              <w:rPr>
                <w:rFonts w:hint="eastAsia" w:ascii="宋体" w:hAnsi="宋体" w:cs="宋体"/>
                <w:i w:val="0"/>
                <w:iCs w:val="0"/>
                <w:caps w:val="0"/>
                <w:color w:val="auto"/>
                <w:spacing w:val="0"/>
                <w:sz w:val="24"/>
                <w:szCs w:val="24"/>
                <w:lang w:val="en-US" w:eastAsia="zh-CN"/>
              </w:rPr>
              <w:t>重庆市九龙坡区马王乡龙泉村160号</w:t>
            </w:r>
          </w:p>
          <w:p w14:paraId="5FC13779">
            <w:pPr>
              <w:pageBreakBefore w:val="0"/>
              <w:kinsoku/>
              <w:overflowPunct/>
              <w:topLinePunct w:val="0"/>
              <w:autoSpaceDE/>
              <w:autoSpaceDN/>
              <w:bidi w:val="0"/>
              <w:snapToGrid w:val="0"/>
              <w:spacing w:line="400" w:lineRule="exact"/>
              <w:ind w:firstLine="480" w:firstLineChars="200"/>
              <w:textAlignment w:val="auto"/>
              <w:rPr>
                <w:rFonts w:hint="default" w:ascii="宋体" w:hAnsi="宋体" w:cs="宋体"/>
                <w:b/>
                <w:bCs/>
                <w:color w:val="auto"/>
                <w:sz w:val="24"/>
                <w:szCs w:val="24"/>
                <w:highlight w:val="none"/>
                <w:lang w:val="en-US" w:eastAsia="zh-CN"/>
              </w:rPr>
            </w:pPr>
            <w:r>
              <w:rPr>
                <w:rFonts w:hint="eastAsia" w:ascii="宋体" w:hAnsi="宋体" w:eastAsia="宋体" w:cs="宋体"/>
                <w:i w:val="0"/>
                <w:iCs w:val="0"/>
                <w:caps w:val="0"/>
                <w:color w:val="auto"/>
                <w:spacing w:val="0"/>
                <w:sz w:val="24"/>
                <w:szCs w:val="24"/>
              </w:rPr>
              <w:t>（备注项目名称+履约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，公司名称）</w:t>
            </w:r>
          </w:p>
          <w:p w14:paraId="1133AC0E">
            <w:pPr>
              <w:snapToGrid w:val="0"/>
              <w:spacing w:line="400" w:lineRule="exact"/>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（三）项目</w:t>
            </w:r>
            <w:r>
              <w:rPr>
                <w:rFonts w:hint="eastAsia" w:ascii="宋体" w:hAnsi="宋体" w:eastAsia="宋体" w:cs="宋体"/>
                <w:b/>
                <w:bCs/>
                <w:color w:val="auto"/>
                <w:sz w:val="24"/>
                <w:szCs w:val="24"/>
                <w:highlight w:val="none"/>
                <w:lang w:val="en-US" w:eastAsia="zh-CN"/>
              </w:rPr>
              <w:t>能源消耗</w:t>
            </w:r>
            <w:r>
              <w:rPr>
                <w:rFonts w:hint="eastAsia" w:ascii="宋体" w:hAnsi="宋体" w:eastAsia="宋体" w:cs="宋体"/>
                <w:b/>
                <w:bCs/>
                <w:color w:val="auto"/>
                <w:sz w:val="24"/>
                <w:szCs w:val="24"/>
                <w:highlight w:val="none"/>
                <w:lang w:eastAsia="zh-CN"/>
              </w:rPr>
              <w:t>费</w:t>
            </w:r>
            <w:r>
              <w:rPr>
                <w:rFonts w:hint="eastAsia" w:ascii="宋体" w:hAnsi="宋体" w:eastAsia="宋体" w:cs="宋体"/>
                <w:b/>
                <w:bCs/>
                <w:color w:val="auto"/>
                <w:sz w:val="24"/>
                <w:szCs w:val="24"/>
                <w:highlight w:val="none"/>
                <w:lang w:val="en-US" w:eastAsia="zh-CN"/>
              </w:rPr>
              <w:t>缴纳</w:t>
            </w:r>
            <w:r>
              <w:rPr>
                <w:rFonts w:hint="eastAsia" w:ascii="宋体" w:hAnsi="宋体" w:cs="宋体"/>
                <w:b/>
                <w:bCs/>
                <w:color w:val="auto"/>
                <w:sz w:val="24"/>
                <w:szCs w:val="24"/>
                <w:highlight w:val="none"/>
                <w:lang w:val="en-US" w:eastAsia="zh-CN"/>
              </w:rPr>
              <w:t>（水、电、气等能源消耗）</w:t>
            </w:r>
          </w:p>
          <w:p w14:paraId="5725F1A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eastAsia="zh-CN"/>
              </w:rPr>
            </w:pPr>
            <w:bookmarkStart w:id="45" w:name="_Toc30733"/>
            <w:bookmarkStart w:id="46" w:name="_Toc13498"/>
            <w:r>
              <w:rPr>
                <w:rFonts w:hint="eastAsia" w:ascii="宋体" w:hAnsi="宋体" w:eastAsia="宋体" w:cs="宋体"/>
                <w:i w:val="0"/>
                <w:iCs w:val="0"/>
                <w:caps w:val="0"/>
                <w:color w:val="auto"/>
                <w:spacing w:val="0"/>
                <w:sz w:val="24"/>
                <w:szCs w:val="24"/>
                <w:lang w:val="en-US" w:eastAsia="zh-CN"/>
              </w:rPr>
              <w:t>1.</w:t>
            </w:r>
            <w:r>
              <w:rPr>
                <w:rFonts w:hint="eastAsia" w:ascii="宋体" w:hAnsi="宋体" w:cs="宋体"/>
                <w:i w:val="0"/>
                <w:iCs w:val="0"/>
                <w:caps w:val="0"/>
                <w:color w:val="auto"/>
                <w:spacing w:val="0"/>
                <w:sz w:val="24"/>
                <w:szCs w:val="24"/>
                <w:lang w:val="en-US" w:eastAsia="zh-CN"/>
              </w:rPr>
              <w:t>缴纳方式及时间：</w:t>
            </w:r>
            <w:r>
              <w:rPr>
                <w:rFonts w:hint="eastAsia" w:ascii="宋体" w:hAnsi="宋体" w:eastAsia="宋体" w:cs="宋体"/>
                <w:i w:val="0"/>
                <w:iCs w:val="0"/>
                <w:caps w:val="0"/>
                <w:color w:val="auto"/>
                <w:spacing w:val="0"/>
                <w:sz w:val="24"/>
                <w:szCs w:val="24"/>
                <w:lang w:eastAsia="zh-CN"/>
              </w:rPr>
              <w:t>银行转账</w:t>
            </w:r>
            <w:bookmarkEnd w:id="45"/>
            <w:bookmarkEnd w:id="46"/>
            <w:r>
              <w:rPr>
                <w:rFonts w:hint="eastAsia" w:ascii="宋体" w:hAnsi="宋体" w:cs="宋体"/>
                <w:i w:val="0"/>
                <w:iCs w:val="0"/>
                <w:caps w:val="0"/>
                <w:color w:val="auto"/>
                <w:spacing w:val="0"/>
                <w:sz w:val="24"/>
                <w:szCs w:val="24"/>
                <w:lang w:eastAsia="zh-CN"/>
              </w:rPr>
              <w:t>方式</w:t>
            </w:r>
            <w:bookmarkStart w:id="47" w:name="_Toc32221"/>
            <w:bookmarkStart w:id="48" w:name="_Toc19628"/>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以每季度开始的</w:t>
            </w:r>
            <w:r>
              <w:rPr>
                <w:rFonts w:hint="eastAsia" w:ascii="宋体" w:hAnsi="宋体" w:cs="宋体"/>
                <w:i w:val="0"/>
                <w:iCs w:val="0"/>
                <w:caps w:val="0"/>
                <w:color w:val="auto"/>
                <w:spacing w:val="0"/>
                <w:sz w:val="24"/>
                <w:szCs w:val="24"/>
                <w:lang w:val="en-US" w:eastAsia="zh-CN"/>
              </w:rPr>
              <w:t>5个工作日内</w:t>
            </w:r>
            <w:r>
              <w:rPr>
                <w:rFonts w:hint="eastAsia" w:ascii="宋体" w:hAnsi="宋体" w:eastAsia="宋体" w:cs="宋体"/>
                <w:i w:val="0"/>
                <w:iCs w:val="0"/>
                <w:caps w:val="0"/>
                <w:color w:val="auto"/>
                <w:spacing w:val="0"/>
                <w:sz w:val="24"/>
                <w:szCs w:val="24"/>
                <w:lang w:val="en-US" w:eastAsia="zh-CN"/>
              </w:rPr>
              <w:t>向采购人缴纳合同约定的能源消耗费，采购人在收到能源消耗费后15个工作日出具对应的票据。</w:t>
            </w:r>
          </w:p>
          <w:p w14:paraId="397C15BF">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2.缴纳费用：</w:t>
            </w:r>
            <w:bookmarkEnd w:id="47"/>
            <w:bookmarkEnd w:id="48"/>
            <w:r>
              <w:rPr>
                <w:rFonts w:hint="eastAsia" w:ascii="宋体" w:hAnsi="宋体" w:cs="宋体"/>
                <w:i w:val="0"/>
                <w:iCs w:val="0"/>
                <w:caps w:val="0"/>
                <w:color w:val="auto"/>
                <w:spacing w:val="0"/>
                <w:sz w:val="24"/>
                <w:szCs w:val="24"/>
                <w:lang w:val="en-US" w:eastAsia="zh-CN"/>
              </w:rPr>
              <w:t>以中标项目能源消耗费为准</w:t>
            </w:r>
          </w:p>
          <w:p w14:paraId="780024FF">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收款人信息：</w:t>
            </w:r>
          </w:p>
          <w:p w14:paraId="498EB6FB">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收款单位：</w:t>
            </w:r>
            <w:r>
              <w:rPr>
                <w:rFonts w:hint="eastAsia" w:ascii="宋体" w:hAnsi="宋体" w:cs="宋体"/>
                <w:i w:val="0"/>
                <w:iCs w:val="0"/>
                <w:caps w:val="0"/>
                <w:color w:val="auto"/>
                <w:spacing w:val="0"/>
                <w:sz w:val="24"/>
                <w:szCs w:val="24"/>
                <w:lang w:val="en-US" w:eastAsia="zh-CN"/>
              </w:rPr>
              <w:t>重庆市九龙坡区中医院</w:t>
            </w:r>
          </w:p>
          <w:p w14:paraId="1940BA0A">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bookmarkStart w:id="58" w:name="_GoBack"/>
            <w:bookmarkEnd w:id="58"/>
            <w:r>
              <w:rPr>
                <w:rFonts w:hint="eastAsia" w:ascii="宋体" w:hAnsi="宋体" w:eastAsia="宋体" w:cs="宋体"/>
                <w:i w:val="0"/>
                <w:iCs w:val="0"/>
                <w:caps w:val="0"/>
                <w:color w:val="auto"/>
                <w:spacing w:val="0"/>
                <w:sz w:val="24"/>
                <w:szCs w:val="24"/>
              </w:rPr>
              <w:t>开户银行：</w:t>
            </w:r>
            <w:r>
              <w:rPr>
                <w:rFonts w:hint="eastAsia" w:ascii="宋体" w:hAnsi="宋体" w:cs="宋体"/>
                <w:i w:val="0"/>
                <w:iCs w:val="0"/>
                <w:caps w:val="0"/>
                <w:color w:val="auto"/>
                <w:spacing w:val="0"/>
                <w:sz w:val="24"/>
                <w:szCs w:val="24"/>
                <w:lang w:val="en-US" w:eastAsia="zh-CN"/>
              </w:rPr>
              <w:t>重庆市农村商业银行九龙坡支行马王乡分理处</w:t>
            </w:r>
          </w:p>
          <w:p w14:paraId="11B30164">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账号：</w:t>
            </w:r>
            <w:r>
              <w:rPr>
                <w:rFonts w:hint="eastAsia" w:ascii="宋体" w:hAnsi="宋体" w:cs="宋体"/>
                <w:i w:val="0"/>
                <w:iCs w:val="0"/>
                <w:caps w:val="0"/>
                <w:color w:val="auto"/>
                <w:spacing w:val="0"/>
                <w:sz w:val="24"/>
                <w:szCs w:val="24"/>
                <w:lang w:val="en-US" w:eastAsia="zh-CN"/>
              </w:rPr>
              <w:t>0401050120010001415</w:t>
            </w:r>
          </w:p>
          <w:p w14:paraId="765F7AAE">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纳税人识别号：</w:t>
            </w:r>
            <w:r>
              <w:rPr>
                <w:rFonts w:hint="eastAsia" w:ascii="宋体" w:hAnsi="宋体" w:cs="宋体"/>
                <w:i w:val="0"/>
                <w:iCs w:val="0"/>
                <w:caps w:val="0"/>
                <w:color w:val="auto"/>
                <w:spacing w:val="0"/>
                <w:sz w:val="24"/>
                <w:szCs w:val="24"/>
                <w:lang w:val="en-US" w:eastAsia="zh-CN"/>
              </w:rPr>
              <w:t>125001074504482324</w:t>
            </w:r>
          </w:p>
          <w:p w14:paraId="40646F0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地址：</w:t>
            </w:r>
            <w:r>
              <w:rPr>
                <w:rFonts w:hint="eastAsia" w:ascii="宋体" w:hAnsi="宋体" w:cs="宋体"/>
                <w:i w:val="0"/>
                <w:iCs w:val="0"/>
                <w:caps w:val="0"/>
                <w:color w:val="auto"/>
                <w:spacing w:val="0"/>
                <w:sz w:val="24"/>
                <w:szCs w:val="24"/>
                <w:lang w:val="en-US" w:eastAsia="zh-CN"/>
              </w:rPr>
              <w:t>重庆市九龙坡区马王乡龙泉村160号</w:t>
            </w:r>
          </w:p>
          <w:p w14:paraId="60D9626C">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（备注项目名称+合同编号）</w:t>
            </w:r>
          </w:p>
          <w:p w14:paraId="4CF3A53C">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（五）报价要求</w:t>
            </w:r>
            <w:bookmarkEnd w:id="44"/>
          </w:p>
          <w:p w14:paraId="4FA4F0D5">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本项目为人民币报价，包括完成本项目所需的其它一切费用及各种应纳的税费。因成交供应商自身原因造成漏报、少报皆由其自行承担责任，采购人不再补偿</w:t>
            </w:r>
            <w:r>
              <w:rPr>
                <w:rFonts w:hint="eastAsia" w:ascii="宋体" w:hAnsi="宋体" w:eastAsia="宋体" w:cs="宋体"/>
                <w:b w:val="0"/>
                <w:bCs w:val="0"/>
                <w:color w:val="auto"/>
                <w:sz w:val="24"/>
                <w:szCs w:val="24"/>
                <w:highlight w:val="none"/>
                <w:lang w:val="en-US" w:eastAsia="zh-CN"/>
              </w:rPr>
              <w:t>。</w:t>
            </w:r>
          </w:p>
          <w:p w14:paraId="563129E8">
            <w:pPr>
              <w:pageBreakBefore w:val="0"/>
              <w:kinsoku/>
              <w:overflowPunct/>
              <w:topLinePunct w:val="0"/>
              <w:autoSpaceDE/>
              <w:autoSpaceDN/>
              <w:bidi w:val="0"/>
              <w:snapToGrid w:val="0"/>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违约责任</w:t>
            </w:r>
          </w:p>
          <w:p w14:paraId="4EE450CB">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文件要求提供合格</w:t>
            </w:r>
            <w:r>
              <w:rPr>
                <w:rFonts w:ascii="宋体" w:hAnsi="宋体" w:cs="宋体"/>
                <w:color w:val="auto"/>
                <w:sz w:val="24"/>
                <w:highlight w:val="none"/>
              </w:rPr>
              <w:t>的</w:t>
            </w:r>
            <w:r>
              <w:rPr>
                <w:rFonts w:hint="eastAsia" w:ascii="宋体" w:hAnsi="宋体" w:cs="宋体"/>
                <w:color w:val="auto"/>
                <w:sz w:val="24"/>
                <w:highlight w:val="none"/>
                <w:lang w:eastAsia="zh-CN"/>
              </w:rPr>
              <w:t>服务</w:t>
            </w:r>
            <w:r>
              <w:rPr>
                <w:rFonts w:hint="eastAsia" w:ascii="宋体" w:hAnsi="宋体" w:cs="宋体"/>
                <w:color w:val="auto"/>
                <w:sz w:val="24"/>
                <w:highlight w:val="none"/>
              </w:rPr>
              <w:t>，若不符合国家的有关法规、质量标准以及合同规定的要求</w:t>
            </w:r>
            <w:r>
              <w:rPr>
                <w:rFonts w:hint="eastAsia" w:ascii="宋体" w:hAnsi="宋体" w:cs="宋体"/>
                <w:b w:val="0"/>
                <w:bCs w:val="0"/>
                <w:color w:val="auto"/>
                <w:sz w:val="24"/>
                <w:szCs w:val="24"/>
                <w:highlight w:val="none"/>
                <w:lang w:eastAsia="zh-CN"/>
              </w:rPr>
              <w:t>，</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有权终止合同，给</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造成的损失，还应承担赔偿责任。</w:t>
            </w:r>
          </w:p>
          <w:p w14:paraId="1D403F04">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签订</w:t>
            </w:r>
            <w:r>
              <w:rPr>
                <w:rFonts w:hint="eastAsia" w:ascii="宋体" w:hAnsi="宋体" w:cs="宋体"/>
                <w:color w:val="auto"/>
                <w:sz w:val="24"/>
                <w:highlight w:val="none"/>
              </w:rPr>
              <w:t>采购合同之后，</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要求解除合同的，视为</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违约，</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需支付相应的赔偿。</w:t>
            </w:r>
          </w:p>
          <w:p w14:paraId="0CD20AE6">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3.因</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原因发生重大质量事故，除依约承担赔偿责任外，还将按有关管理办法规定执行，同时报相关行政主管部门处罚。</w:t>
            </w:r>
          </w:p>
          <w:p w14:paraId="76BAB2F5">
            <w:pPr>
              <w:pageBreakBefore w:val="0"/>
              <w:kinsoku/>
              <w:overflowPunct/>
              <w:topLinePunct w:val="0"/>
              <w:autoSpaceDE/>
              <w:autoSpaceDN/>
              <w:bidi w:val="0"/>
              <w:spacing w:line="40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4.上述条款中凡涉及“</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违约对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造成的损失”中关于的损失均包括但不限于实际损失、间接损失、</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为追索损失支付的律师代理费、差旅费、诉讼费、保全费、鉴定费、评估费等。</w:t>
            </w:r>
          </w:p>
          <w:p w14:paraId="5A4F130D">
            <w:pPr>
              <w:pageBreakBefore w:val="0"/>
              <w:kinsoku/>
              <w:overflowPunct/>
              <w:topLinePunct w:val="0"/>
              <w:autoSpaceDE/>
              <w:autoSpaceDN/>
              <w:bidi w:val="0"/>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其他：</w:t>
            </w:r>
          </w:p>
          <w:p w14:paraId="4B4ADFA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1.供应商应在响应文件中对以上条款和服务承诺明确列出。</w:t>
            </w:r>
          </w:p>
          <w:p w14:paraId="7494178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2.未尽事宜由双方在合同中详细约定。</w:t>
            </w:r>
          </w:p>
          <w:p w14:paraId="6014C32D">
            <w:pPr>
              <w:pageBreakBefore w:val="0"/>
              <w:kinsoku/>
              <w:overflowPunct/>
              <w:topLinePunct w:val="0"/>
              <w:autoSpaceDE/>
              <w:autoSpaceDN/>
              <w:bidi w:val="0"/>
              <w:spacing w:line="400" w:lineRule="exact"/>
              <w:textAlignment w:val="auto"/>
              <w:rPr>
                <w:rFonts w:hint="eastAsia" w:ascii="宋体" w:hAnsi="宋体" w:cs="宋体"/>
                <w:color w:val="auto"/>
                <w:sz w:val="30"/>
                <w:szCs w:val="30"/>
                <w:highlight w:val="none"/>
              </w:rPr>
            </w:pPr>
          </w:p>
          <w:p w14:paraId="375B5559">
            <w:pPr>
              <w:pageBreakBefore w:val="0"/>
              <w:kinsoku/>
              <w:overflowPunct/>
              <w:topLinePunct w:val="0"/>
              <w:autoSpaceDE/>
              <w:autoSpaceDN/>
              <w:bidi w:val="0"/>
              <w:spacing w:line="400" w:lineRule="exact"/>
              <w:textAlignment w:val="auto"/>
              <w:rPr>
                <w:rFonts w:hint="eastAsia" w:ascii="宋体" w:hAnsi="宋体" w:cs="宋体"/>
                <w:color w:val="auto"/>
                <w:sz w:val="30"/>
                <w:szCs w:val="30"/>
                <w:highlight w:val="none"/>
              </w:rPr>
            </w:pPr>
          </w:p>
          <w:p w14:paraId="1553E416">
            <w:pPr>
              <w:rPr>
                <w:rFonts w:hint="eastAsia" w:ascii="宋体" w:hAnsi="宋体" w:cs="宋体"/>
                <w:color w:val="auto"/>
                <w:sz w:val="30"/>
                <w:szCs w:val="30"/>
                <w:highlight w:val="none"/>
              </w:rPr>
            </w:pPr>
          </w:p>
          <w:bookmarkEnd w:id="35"/>
          <w:p w14:paraId="16370F65">
            <w:pPr>
              <w:pStyle w:val="2"/>
              <w:rPr>
                <w:rFonts w:hint="eastAsia"/>
                <w:highlight w:val="none"/>
              </w:rPr>
            </w:pPr>
          </w:p>
          <w:p w14:paraId="0BECFFA3">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t>第</w:t>
            </w:r>
            <w:r>
              <w:rPr>
                <w:rFonts w:hint="eastAsia" w:ascii="方正小标宋_GBK" w:hAnsi="方正小标宋_GBK" w:eastAsia="方正小标宋_GBK" w:cs="方正小标宋_GBK"/>
                <w:b/>
                <w:bCs/>
                <w:color w:val="auto"/>
                <w:kern w:val="2"/>
                <w:sz w:val="36"/>
                <w:szCs w:val="36"/>
                <w:highlight w:val="none"/>
                <w:lang w:val="en-US" w:eastAsia="zh-CN" w:bidi="ar-SA"/>
              </w:rPr>
              <w:t>四</w:t>
            </w:r>
            <w:r>
              <w:rPr>
                <w:rFonts w:hint="eastAsia" w:ascii="方正小标宋_GBK" w:hAnsi="方正小标宋_GBK" w:eastAsia="方正小标宋_GBK" w:cs="方正小标宋_GBK"/>
                <w:b/>
                <w:bCs/>
                <w:color w:val="auto"/>
                <w:kern w:val="2"/>
                <w:sz w:val="36"/>
                <w:szCs w:val="36"/>
                <w:highlight w:val="none"/>
                <w:lang w:val="zh-CN" w:eastAsia="zh-CN" w:bidi="ar-SA"/>
              </w:rPr>
              <w:t>篇  响应文件格式要求</w:t>
            </w:r>
          </w:p>
          <w:p w14:paraId="4BDB8903">
            <w:pPr>
              <w:pageBreakBefore w:val="0"/>
              <w:kinsoku/>
              <w:overflowPunct/>
              <w:topLinePunct w:val="0"/>
              <w:autoSpaceDE/>
              <w:autoSpaceDN/>
              <w:bidi w:val="0"/>
              <w:spacing w:line="400" w:lineRule="exact"/>
              <w:textAlignment w:val="auto"/>
              <w:rPr>
                <w:rFonts w:hint="eastAsia" w:ascii="宋体" w:hAnsi="宋体" w:cs="宋体"/>
                <w:color w:val="auto"/>
                <w:highlight w:val="none"/>
              </w:rPr>
            </w:pPr>
          </w:p>
          <w:p w14:paraId="7A7424E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一、报价一览表</w:t>
            </w:r>
          </w:p>
          <w:p w14:paraId="650FAC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）能源消耗</w:t>
            </w:r>
            <w:r>
              <w:rPr>
                <w:rFonts w:hint="eastAsia" w:ascii="宋体" w:hAnsi="宋体" w:cs="宋体"/>
                <w:color w:val="auto"/>
                <w:sz w:val="24"/>
                <w:szCs w:val="24"/>
                <w:highlight w:val="none"/>
              </w:rPr>
              <w:t>报价一览表</w:t>
            </w:r>
          </w:p>
          <w:p w14:paraId="7B47E5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陪护等级及对应的收费报价明细表</w:t>
            </w:r>
          </w:p>
          <w:p w14:paraId="6EB1926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二、一般资格文件</w:t>
            </w:r>
          </w:p>
          <w:p w14:paraId="5E6CF5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（一）营业执照（副本）或事业单位法人证书（副本）复印件，组织机构代码证、税务登记证复印件。</w:t>
            </w:r>
          </w:p>
          <w:p w14:paraId="7CD107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w:t>
            </w:r>
          </w:p>
          <w:p w14:paraId="3D728D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w:t>
            </w:r>
          </w:p>
          <w:p w14:paraId="6EDFE8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（四）遴选承诺函。</w:t>
            </w:r>
          </w:p>
          <w:p w14:paraId="720FA5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（五）诚信声明。</w:t>
            </w:r>
          </w:p>
          <w:p w14:paraId="6E8ECAF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说明：供应商按“三证合一”登记制度办理营业执照的，组织机构代码证和税务登记证以供应商所提供的法人营业执照（副本）复印件为准。</w:t>
            </w:r>
          </w:p>
          <w:p w14:paraId="5827976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三、特定资格条件证书或证明文件</w:t>
            </w:r>
          </w:p>
          <w:p w14:paraId="31D3556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四、响应文件</w:t>
            </w:r>
          </w:p>
          <w:p w14:paraId="55FA695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（一）技术、服务要求响应情况。</w:t>
            </w:r>
          </w:p>
          <w:p w14:paraId="31CAAA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（二）响应条款差异表。</w:t>
            </w:r>
          </w:p>
          <w:p w14:paraId="4F0B42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（三）其他优惠承诺。</w:t>
            </w:r>
          </w:p>
          <w:p w14:paraId="7D059FA8">
            <w:pPr>
              <w:keepNext w:val="0"/>
              <w:keepLines w:val="0"/>
              <w:pageBreakBefore w:val="0"/>
              <w:widowControl w:val="0"/>
              <w:tabs>
                <w:tab w:val="left" w:pos="1764"/>
              </w:tabs>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五、其他</w:t>
            </w:r>
          </w:p>
          <w:p w14:paraId="20E237D9">
            <w:pPr>
              <w:pStyle w:val="5"/>
              <w:spacing w:before="0" w:after="0" w:line="460" w:lineRule="exact"/>
              <w:rPr>
                <w:rFonts w:hint="eastAsia" w:ascii="宋体" w:hAnsi="宋体" w:eastAsia="宋体" w:cs="宋体"/>
                <w:color w:val="auto"/>
                <w:sz w:val="24"/>
                <w:szCs w:val="24"/>
                <w:highlight w:val="none"/>
              </w:rPr>
            </w:pPr>
            <w:bookmarkStart w:id="49" w:name="_Toc12789073"/>
            <w:bookmarkStart w:id="50" w:name="_Toc283382454"/>
            <w:r>
              <w:rPr>
                <w:rFonts w:hint="eastAsia" w:ascii="宋体" w:hAnsi="宋体" w:eastAsia="宋体" w:cs="宋体"/>
                <w:color w:val="auto"/>
                <w:sz w:val="24"/>
                <w:szCs w:val="24"/>
                <w:highlight w:val="none"/>
              </w:rPr>
              <w:t>一、报价一览表</w:t>
            </w:r>
          </w:p>
          <w:bookmarkEnd w:id="49"/>
          <w:bookmarkEnd w:id="50"/>
          <w:p w14:paraId="66FD28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lang w:eastAsia="zh-CN"/>
              </w:rPr>
              <w:t>能源消耗</w:t>
            </w:r>
            <w:r>
              <w:rPr>
                <w:rFonts w:hint="eastAsia" w:ascii="宋体" w:hAnsi="宋体" w:cs="宋体"/>
                <w:color w:val="auto"/>
                <w:sz w:val="24"/>
                <w:szCs w:val="24"/>
                <w:highlight w:val="none"/>
              </w:rPr>
              <w:t>报价一览表</w:t>
            </w:r>
          </w:p>
          <w:p w14:paraId="030F94DC">
            <w:pPr>
              <w:snapToGrid w:val="0"/>
              <w:spacing w:line="460" w:lineRule="exact"/>
              <w:jc w:val="center"/>
              <w:rPr>
                <w:rFonts w:hint="eastAsia" w:ascii="宋体" w:hAnsi="宋体" w:eastAsia="宋体" w:cs="宋体"/>
                <w:b w:val="0"/>
                <w:bCs w:val="0"/>
                <w:color w:val="auto"/>
                <w:sz w:val="24"/>
                <w:szCs w:val="24"/>
                <w:highlight w:val="none"/>
              </w:rPr>
            </w:pPr>
          </w:p>
          <w:tbl>
            <w:tblPr>
              <w:tblStyle w:val="13"/>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58"/>
              <w:gridCol w:w="1890"/>
              <w:gridCol w:w="2025"/>
              <w:gridCol w:w="2367"/>
            </w:tblGrid>
            <w:tr w14:paraId="01A0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188" w:type="dxa"/>
                  <w:noWrap w:val="0"/>
                  <w:vAlign w:val="center"/>
                </w:tcPr>
                <w:p w14:paraId="5E9018F8">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p>
                <w:p w14:paraId="66CC562C">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640" w:type="dxa"/>
                  <w:gridSpan w:val="4"/>
                  <w:noWrap w:val="0"/>
                  <w:vAlign w:val="center"/>
                </w:tcPr>
                <w:p w14:paraId="1BEF7AB1">
                  <w:pPr>
                    <w:spacing w:line="500" w:lineRule="exact"/>
                    <w:jc w:val="center"/>
                    <w:rPr>
                      <w:rFonts w:hint="eastAsia" w:ascii="宋体" w:hAnsi="宋体" w:eastAsia="宋体" w:cs="宋体"/>
                      <w:color w:val="auto"/>
                      <w:sz w:val="21"/>
                      <w:szCs w:val="21"/>
                      <w:highlight w:val="none"/>
                    </w:rPr>
                  </w:pPr>
                </w:p>
              </w:tc>
            </w:tr>
            <w:tr w14:paraId="56B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188" w:type="dxa"/>
                  <w:noWrap w:val="0"/>
                  <w:vAlign w:val="center"/>
                </w:tcPr>
                <w:p w14:paraId="00A04B05">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号</w:t>
                  </w:r>
                </w:p>
              </w:tc>
              <w:tc>
                <w:tcPr>
                  <w:tcW w:w="2358" w:type="dxa"/>
                  <w:noWrap w:val="0"/>
                  <w:vAlign w:val="center"/>
                </w:tcPr>
                <w:p w14:paraId="5CB2AD79">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890" w:type="dxa"/>
                  <w:noWrap w:val="0"/>
                  <w:vAlign w:val="center"/>
                </w:tcPr>
                <w:p w14:paraId="6D23E018">
                  <w:pPr>
                    <w:spacing w:line="5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每月价格</w:t>
                  </w:r>
                  <w:r>
                    <w:rPr>
                      <w:rFonts w:hint="eastAsia" w:ascii="宋体" w:hAnsi="宋体" w:eastAsia="宋体" w:cs="宋体"/>
                      <w:color w:val="auto"/>
                      <w:sz w:val="21"/>
                      <w:szCs w:val="21"/>
                      <w:highlight w:val="none"/>
                    </w:rPr>
                    <w:t>（元）</w:t>
                  </w:r>
                </w:p>
              </w:tc>
              <w:tc>
                <w:tcPr>
                  <w:tcW w:w="2025" w:type="dxa"/>
                  <w:noWrap w:val="0"/>
                  <w:vAlign w:val="center"/>
                </w:tcPr>
                <w:p w14:paraId="63545BD9">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年度总价</w:t>
                  </w:r>
                  <w:r>
                    <w:rPr>
                      <w:rFonts w:hint="eastAsia" w:ascii="宋体" w:hAnsi="宋体" w:eastAsia="宋体" w:cs="宋体"/>
                      <w:color w:val="auto"/>
                      <w:sz w:val="21"/>
                      <w:szCs w:val="21"/>
                      <w:highlight w:val="none"/>
                    </w:rPr>
                    <w:t>（元）</w:t>
                  </w:r>
                </w:p>
              </w:tc>
              <w:tc>
                <w:tcPr>
                  <w:tcW w:w="2367" w:type="dxa"/>
                  <w:noWrap w:val="0"/>
                  <w:vAlign w:val="center"/>
                </w:tcPr>
                <w:p w14:paraId="3DFDFEF7">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5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88" w:type="dxa"/>
                  <w:tcBorders>
                    <w:bottom w:val="single" w:color="auto" w:sz="4" w:space="0"/>
                  </w:tcBorders>
                  <w:noWrap w:val="0"/>
                  <w:vAlign w:val="center"/>
                </w:tcPr>
                <w:p w14:paraId="7C7A5C28">
                  <w:pPr>
                    <w:spacing w:line="500" w:lineRule="exact"/>
                    <w:jc w:val="center"/>
                    <w:rPr>
                      <w:rFonts w:hint="eastAsia" w:ascii="宋体" w:hAnsi="宋体" w:eastAsia="宋体" w:cs="宋体"/>
                      <w:color w:val="auto"/>
                      <w:sz w:val="21"/>
                      <w:szCs w:val="21"/>
                      <w:highlight w:val="none"/>
                      <w:lang w:val="zh-CN" w:eastAsia="zh-CN"/>
                    </w:rPr>
                  </w:pPr>
                </w:p>
              </w:tc>
              <w:tc>
                <w:tcPr>
                  <w:tcW w:w="2358" w:type="dxa"/>
                  <w:tcBorders>
                    <w:bottom w:val="single" w:color="auto" w:sz="4" w:space="0"/>
                  </w:tcBorders>
                  <w:noWrap w:val="0"/>
                  <w:vAlign w:val="top"/>
                </w:tcPr>
                <w:p w14:paraId="3ED6BD80">
                  <w:pPr>
                    <w:spacing w:line="500" w:lineRule="exact"/>
                    <w:jc w:val="center"/>
                    <w:rPr>
                      <w:rFonts w:hint="eastAsia" w:ascii="宋体" w:hAnsi="宋体" w:eastAsia="宋体" w:cs="宋体"/>
                      <w:color w:val="auto"/>
                      <w:sz w:val="21"/>
                      <w:szCs w:val="21"/>
                      <w:highlight w:val="none"/>
                      <w:lang w:val="zh-CN" w:eastAsia="zh-CN"/>
                    </w:rPr>
                  </w:pPr>
                </w:p>
              </w:tc>
              <w:tc>
                <w:tcPr>
                  <w:tcW w:w="1890" w:type="dxa"/>
                  <w:tcBorders>
                    <w:bottom w:val="single" w:color="auto" w:sz="4" w:space="0"/>
                  </w:tcBorders>
                  <w:noWrap w:val="0"/>
                  <w:vAlign w:val="top"/>
                </w:tcPr>
                <w:p w14:paraId="0185A37B">
                  <w:pPr>
                    <w:spacing w:line="500" w:lineRule="exact"/>
                    <w:jc w:val="center"/>
                    <w:rPr>
                      <w:rFonts w:hint="eastAsia" w:ascii="宋体" w:hAnsi="宋体" w:eastAsia="宋体" w:cs="宋体"/>
                      <w:color w:val="auto"/>
                      <w:sz w:val="21"/>
                      <w:szCs w:val="21"/>
                      <w:highlight w:val="none"/>
                      <w:lang w:val="zh-CN" w:eastAsia="zh-CN"/>
                    </w:rPr>
                  </w:pPr>
                </w:p>
              </w:tc>
              <w:tc>
                <w:tcPr>
                  <w:tcW w:w="2025" w:type="dxa"/>
                  <w:tcBorders>
                    <w:bottom w:val="single" w:color="auto" w:sz="4" w:space="0"/>
                  </w:tcBorders>
                  <w:noWrap w:val="0"/>
                  <w:vAlign w:val="top"/>
                </w:tcPr>
                <w:p w14:paraId="3E46BF76">
                  <w:pPr>
                    <w:spacing w:line="500" w:lineRule="exact"/>
                    <w:jc w:val="center"/>
                    <w:rPr>
                      <w:rFonts w:hint="eastAsia" w:ascii="宋体" w:hAnsi="宋体" w:eastAsia="宋体" w:cs="宋体"/>
                      <w:color w:val="auto"/>
                      <w:sz w:val="21"/>
                      <w:szCs w:val="21"/>
                      <w:highlight w:val="none"/>
                      <w:lang w:val="zh-CN" w:eastAsia="zh-CN"/>
                    </w:rPr>
                  </w:pPr>
                </w:p>
              </w:tc>
              <w:tc>
                <w:tcPr>
                  <w:tcW w:w="2367" w:type="dxa"/>
                  <w:tcBorders>
                    <w:bottom w:val="single" w:color="auto" w:sz="4" w:space="0"/>
                  </w:tcBorders>
                  <w:noWrap w:val="0"/>
                  <w:vAlign w:val="top"/>
                </w:tcPr>
                <w:p w14:paraId="5D0049F1">
                  <w:pPr>
                    <w:spacing w:line="500" w:lineRule="exact"/>
                    <w:jc w:val="center"/>
                    <w:rPr>
                      <w:rFonts w:hint="eastAsia" w:ascii="宋体" w:hAnsi="宋体" w:eastAsia="宋体" w:cs="宋体"/>
                      <w:color w:val="auto"/>
                      <w:sz w:val="21"/>
                      <w:szCs w:val="21"/>
                      <w:highlight w:val="none"/>
                      <w:lang w:val="zh-CN" w:eastAsia="zh-CN"/>
                    </w:rPr>
                  </w:pPr>
                </w:p>
              </w:tc>
            </w:tr>
            <w:tr w14:paraId="05BE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9828" w:type="dxa"/>
                  <w:gridSpan w:val="5"/>
                  <w:noWrap w:val="0"/>
                  <w:vAlign w:val="center"/>
                </w:tcPr>
                <w:p w14:paraId="267CBA82">
                  <w:pPr>
                    <w:spacing w:line="56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报价总价小写（元）</w:t>
                  </w:r>
                </w:p>
              </w:tc>
            </w:tr>
            <w:tr w14:paraId="2187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828" w:type="dxa"/>
                  <w:gridSpan w:val="5"/>
                  <w:noWrap w:val="0"/>
                  <w:vAlign w:val="center"/>
                </w:tcPr>
                <w:p w14:paraId="52A21B2B">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总价</w:t>
                  </w:r>
                  <w:r>
                    <w:rPr>
                      <w:rFonts w:hint="eastAsia" w:ascii="宋体" w:hAnsi="宋体" w:eastAsia="宋体" w:cs="宋体"/>
                      <w:color w:val="auto"/>
                      <w:sz w:val="21"/>
                      <w:szCs w:val="21"/>
                      <w:highlight w:val="none"/>
                    </w:rPr>
                    <w:t>大写（元）：</w:t>
                  </w:r>
                </w:p>
              </w:tc>
            </w:tr>
          </w:tbl>
          <w:p w14:paraId="68AC0783">
            <w:pPr>
              <w:spacing w:line="460" w:lineRule="exact"/>
              <w:rPr>
                <w:rFonts w:hint="eastAsia" w:ascii="宋体" w:hAnsi="宋体" w:eastAsia="宋体" w:cs="宋体"/>
                <w:b w:val="0"/>
                <w:bCs w:val="0"/>
                <w:color w:val="auto"/>
                <w:sz w:val="24"/>
                <w:szCs w:val="24"/>
                <w:highlight w:val="none"/>
              </w:rPr>
            </w:pPr>
          </w:p>
          <w:p w14:paraId="50D829AA">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供应商名称及公章 ：               法定代表人或授权代表：</w:t>
            </w:r>
          </w:p>
          <w:p w14:paraId="24DF9663">
            <w:pPr>
              <w:spacing w:line="4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（供应商公章）                     （签字或盖章）</w:t>
            </w:r>
          </w:p>
          <w:p w14:paraId="477CFF34">
            <w:pPr>
              <w:spacing w:line="460" w:lineRule="exact"/>
              <w:rPr>
                <w:rFonts w:hint="eastAsia" w:ascii="宋体" w:hAnsi="宋体" w:eastAsia="宋体" w:cs="宋体"/>
                <w:b w:val="0"/>
                <w:bCs w:val="0"/>
                <w:color w:val="auto"/>
                <w:sz w:val="24"/>
                <w:szCs w:val="24"/>
                <w:highlight w:val="none"/>
              </w:rPr>
            </w:pPr>
          </w:p>
          <w:p w14:paraId="28A18525">
            <w:pPr>
              <w:spacing w:line="4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年     月     日</w:t>
            </w:r>
          </w:p>
          <w:p w14:paraId="1CD2C3E3">
            <w:pPr>
              <w:spacing w:line="460" w:lineRule="exact"/>
              <w:ind w:firstLine="5181" w:firstLineChars="2159"/>
              <w:jc w:val="left"/>
              <w:rPr>
                <w:rFonts w:hint="eastAsia" w:ascii="宋体" w:hAnsi="宋体" w:eastAsia="宋体" w:cs="宋体"/>
                <w:b w:val="0"/>
                <w:bCs w:val="0"/>
                <w:color w:val="auto"/>
                <w:sz w:val="24"/>
                <w:szCs w:val="24"/>
                <w:highlight w:val="none"/>
              </w:rPr>
            </w:pPr>
          </w:p>
          <w:p w14:paraId="2D6D896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30"/>
                <w:szCs w:val="30"/>
                <w:highlight w:val="none"/>
              </w:rPr>
            </w:pPr>
            <w:r>
              <w:rPr>
                <w:rFonts w:hint="eastAsia" w:ascii="宋体" w:hAnsi="宋体" w:cs="宋体"/>
                <w:b/>
                <w:bCs/>
                <w:color w:val="auto"/>
                <w:sz w:val="24"/>
                <w:szCs w:val="24"/>
                <w:highlight w:val="none"/>
                <w:lang w:val="en-US" w:eastAsia="zh-CN"/>
              </w:rPr>
              <w:t>注：</w:t>
            </w:r>
            <w:r>
              <w:rPr>
                <w:rFonts w:hint="eastAsia" w:ascii="GWZT-EN"/>
                <w:b/>
                <w:color w:val="auto"/>
                <w:sz w:val="24"/>
                <w:szCs w:val="24"/>
                <w:highlight w:val="none"/>
                <w:lang w:eastAsia="zh-CN"/>
              </w:rPr>
              <w:t>能源消耗价格见项目要求</w:t>
            </w:r>
          </w:p>
          <w:p w14:paraId="261611FD">
            <w:pPr>
              <w:rPr>
                <w:rFonts w:ascii="宋体" w:hAnsi="宋体" w:cs="宋体"/>
                <w:color w:val="auto"/>
                <w:sz w:val="30"/>
                <w:szCs w:val="30"/>
                <w:highlight w:val="none"/>
              </w:rPr>
            </w:pPr>
          </w:p>
          <w:p w14:paraId="64FEEDD9">
            <w:pPr>
              <w:rPr>
                <w:rFonts w:ascii="宋体" w:hAnsi="宋体" w:cs="宋体"/>
                <w:color w:val="auto"/>
                <w:sz w:val="30"/>
                <w:szCs w:val="30"/>
                <w:highlight w:val="none"/>
              </w:rPr>
            </w:pPr>
          </w:p>
          <w:p w14:paraId="2A11E4A7">
            <w:pPr>
              <w:pStyle w:val="2"/>
              <w:rPr>
                <w:rFonts w:ascii="宋体" w:hAnsi="宋体" w:cs="宋体"/>
                <w:color w:val="auto"/>
                <w:sz w:val="30"/>
                <w:szCs w:val="30"/>
                <w:highlight w:val="none"/>
              </w:rPr>
            </w:pPr>
          </w:p>
          <w:p w14:paraId="12A00EE4">
            <w:pPr>
              <w:rPr>
                <w:rFonts w:ascii="宋体" w:hAnsi="宋体" w:cs="宋体"/>
                <w:color w:val="auto"/>
                <w:sz w:val="30"/>
                <w:szCs w:val="30"/>
                <w:highlight w:val="none"/>
              </w:rPr>
            </w:pPr>
          </w:p>
          <w:p w14:paraId="4B303096">
            <w:pPr>
              <w:pStyle w:val="2"/>
            </w:pPr>
          </w:p>
          <w:p w14:paraId="00DB3DCB">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（二）分项报价</w:t>
            </w:r>
            <w:r>
              <w:rPr>
                <w:rFonts w:hint="eastAsia" w:ascii="宋体" w:hAnsi="宋体" w:cs="宋体"/>
                <w:b/>
                <w:bCs/>
                <w:color w:val="auto"/>
                <w:sz w:val="24"/>
                <w:szCs w:val="24"/>
                <w:highlight w:val="none"/>
                <w:lang w:val="en-US" w:eastAsia="zh-CN"/>
              </w:rPr>
              <w:t>明细</w:t>
            </w:r>
            <w:r>
              <w:rPr>
                <w:rFonts w:hint="eastAsia" w:ascii="宋体" w:hAnsi="宋体" w:eastAsia="宋体" w:cs="宋体"/>
                <w:b/>
                <w:bCs/>
                <w:color w:val="auto"/>
                <w:sz w:val="24"/>
                <w:szCs w:val="24"/>
                <w:highlight w:val="none"/>
                <w:lang w:eastAsia="zh-CN"/>
              </w:rPr>
              <w:t>表</w:t>
            </w:r>
          </w:p>
          <w:tbl>
            <w:tblPr>
              <w:tblStyle w:val="13"/>
              <w:tblpPr w:leftFromText="180" w:rightFromText="180" w:vertAnchor="text" w:tblpXSpec="center" w:tblpY="241"/>
              <w:tblW w:w="0" w:type="auto"/>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76"/>
              <w:gridCol w:w="1079"/>
              <w:gridCol w:w="1335"/>
              <w:gridCol w:w="1426"/>
              <w:gridCol w:w="1469"/>
              <w:gridCol w:w="1151"/>
            </w:tblGrid>
            <w:tr w14:paraId="629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trPr>
              <w:tc>
                <w:tcPr>
                  <w:tcW w:w="1011" w:type="dxa"/>
                  <w:noWrap w:val="0"/>
                  <w:vAlign w:val="center"/>
                </w:tcPr>
                <w:p w14:paraId="38BED68F">
                  <w:pPr>
                    <w:snapToGrid w:val="0"/>
                    <w:jc w:val="both"/>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序号</w:t>
                  </w:r>
                </w:p>
              </w:tc>
              <w:tc>
                <w:tcPr>
                  <w:tcW w:w="1576" w:type="dxa"/>
                  <w:noWrap w:val="0"/>
                  <w:vAlign w:val="center"/>
                </w:tcPr>
                <w:p w14:paraId="250C9402">
                  <w:pPr>
                    <w:snapToGrid w:val="0"/>
                    <w:jc w:val="center"/>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陪护项目</w:t>
                  </w:r>
                </w:p>
              </w:tc>
              <w:tc>
                <w:tcPr>
                  <w:tcW w:w="1079" w:type="dxa"/>
                  <w:noWrap w:val="0"/>
                  <w:vAlign w:val="center"/>
                </w:tcPr>
                <w:p w14:paraId="118E1F02">
                  <w:pPr>
                    <w:snapToGrid w:val="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护理等级</w:t>
                  </w:r>
                </w:p>
              </w:tc>
              <w:tc>
                <w:tcPr>
                  <w:tcW w:w="1335" w:type="dxa"/>
                  <w:noWrap w:val="0"/>
                  <w:vAlign w:val="center"/>
                </w:tcPr>
                <w:p w14:paraId="299510D3">
                  <w:pPr>
                    <w:snapToGrid w:val="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收费</w:t>
                  </w:r>
                  <w:r>
                    <w:rPr>
                      <w:rFonts w:hint="eastAsia" w:ascii="宋体" w:hAnsi="宋体" w:eastAsia="宋体" w:cs="宋体"/>
                      <w:b w:val="0"/>
                      <w:bCs/>
                      <w:color w:val="auto"/>
                      <w:sz w:val="21"/>
                      <w:szCs w:val="21"/>
                      <w:highlight w:val="none"/>
                      <w:lang w:val="en-US" w:eastAsia="zh-CN"/>
                    </w:rPr>
                    <w:t>单价限价</w:t>
                  </w:r>
                  <w:r>
                    <w:rPr>
                      <w:rFonts w:hint="eastAsia" w:ascii="宋体" w:hAnsi="宋体" w:eastAsia="宋体" w:cs="宋体"/>
                      <w:b w:val="0"/>
                      <w:bCs/>
                      <w:color w:val="auto"/>
                      <w:sz w:val="21"/>
                      <w:szCs w:val="21"/>
                      <w:highlight w:val="none"/>
                    </w:rPr>
                    <w:t>（元）</w:t>
                  </w:r>
                </w:p>
              </w:tc>
              <w:tc>
                <w:tcPr>
                  <w:tcW w:w="1426" w:type="dxa"/>
                  <w:noWrap w:val="0"/>
                  <w:vAlign w:val="center"/>
                </w:tcPr>
                <w:p w14:paraId="0EBBA55B">
                  <w:pPr>
                    <w:snapToGrid w:val="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eastAsia="zh-CN"/>
                    </w:rPr>
                    <w:t>下浮比例</w:t>
                  </w:r>
                  <w:r>
                    <w:rPr>
                      <w:rFonts w:hint="eastAsia" w:ascii="宋体" w:hAnsi="宋体" w:cs="宋体"/>
                      <w:b w:val="0"/>
                      <w:bCs/>
                      <w:color w:val="auto"/>
                      <w:sz w:val="21"/>
                      <w:szCs w:val="21"/>
                      <w:highlight w:val="none"/>
                      <w:lang w:val="en-US" w:eastAsia="zh-CN"/>
                    </w:rPr>
                    <w:t>%</w:t>
                  </w:r>
                </w:p>
              </w:tc>
              <w:tc>
                <w:tcPr>
                  <w:tcW w:w="1469" w:type="dxa"/>
                  <w:noWrap w:val="0"/>
                  <w:vAlign w:val="center"/>
                </w:tcPr>
                <w:p w14:paraId="7EAB0317">
                  <w:pPr>
                    <w:snapToGrid w:val="0"/>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实际</w:t>
                  </w:r>
                  <w:r>
                    <w:rPr>
                      <w:rFonts w:hint="eastAsia" w:ascii="宋体" w:hAnsi="宋体" w:cs="宋体"/>
                      <w:b w:val="0"/>
                      <w:bCs/>
                      <w:color w:val="auto"/>
                      <w:sz w:val="21"/>
                      <w:szCs w:val="21"/>
                      <w:highlight w:val="none"/>
                      <w:lang w:val="en-US" w:eastAsia="zh-CN"/>
                    </w:rPr>
                    <w:t>收费</w:t>
                  </w:r>
                  <w:r>
                    <w:rPr>
                      <w:rFonts w:hint="eastAsia" w:ascii="宋体" w:hAnsi="宋体" w:eastAsia="宋体" w:cs="宋体"/>
                      <w:b w:val="0"/>
                      <w:bCs/>
                      <w:color w:val="auto"/>
                      <w:sz w:val="21"/>
                      <w:szCs w:val="21"/>
                      <w:highlight w:val="none"/>
                      <w:lang w:val="en-US" w:eastAsia="zh-CN"/>
                    </w:rPr>
                    <w:t>单价报价</w:t>
                  </w:r>
                  <w:r>
                    <w:rPr>
                      <w:rFonts w:hint="eastAsia" w:ascii="宋体" w:hAnsi="宋体" w:eastAsia="宋体" w:cs="宋体"/>
                      <w:b w:val="0"/>
                      <w:bCs/>
                      <w:color w:val="auto"/>
                      <w:sz w:val="21"/>
                      <w:szCs w:val="21"/>
                      <w:highlight w:val="none"/>
                    </w:rPr>
                    <w:t>（元）</w:t>
                  </w:r>
                </w:p>
              </w:tc>
              <w:tc>
                <w:tcPr>
                  <w:tcW w:w="1151" w:type="dxa"/>
                  <w:noWrap w:val="0"/>
                  <w:vAlign w:val="center"/>
                </w:tcPr>
                <w:p w14:paraId="77381D74">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86E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11" w:type="dxa"/>
                  <w:noWrap w:val="0"/>
                  <w:vAlign w:val="center"/>
                </w:tcPr>
                <w:p w14:paraId="63C0BDD7">
                  <w:pPr>
                    <w:snapToGrid w:val="0"/>
                    <w:jc w:val="center"/>
                    <w:rPr>
                      <w:rFonts w:hint="eastAsia" w:ascii="宋体" w:hAnsi="宋体" w:eastAsia="宋体" w:cs="宋体"/>
                      <w:color w:val="auto"/>
                      <w:sz w:val="21"/>
                      <w:szCs w:val="21"/>
                      <w:highlight w:val="none"/>
                    </w:rPr>
                  </w:pPr>
                </w:p>
              </w:tc>
              <w:tc>
                <w:tcPr>
                  <w:tcW w:w="1576" w:type="dxa"/>
                  <w:noWrap w:val="0"/>
                  <w:vAlign w:val="center"/>
                </w:tcPr>
                <w:p w14:paraId="667D5DBE">
                  <w:pPr>
                    <w:snapToGrid w:val="0"/>
                    <w:jc w:val="center"/>
                    <w:rPr>
                      <w:rFonts w:hint="eastAsia" w:ascii="宋体" w:hAnsi="宋体" w:eastAsia="宋体" w:cs="宋体"/>
                      <w:color w:val="auto"/>
                      <w:sz w:val="21"/>
                      <w:szCs w:val="21"/>
                      <w:highlight w:val="none"/>
                    </w:rPr>
                  </w:pPr>
                </w:p>
              </w:tc>
              <w:tc>
                <w:tcPr>
                  <w:tcW w:w="1079" w:type="dxa"/>
                  <w:noWrap w:val="0"/>
                  <w:vAlign w:val="center"/>
                </w:tcPr>
                <w:p w14:paraId="2521240A">
                  <w:pPr>
                    <w:snapToGrid w:val="0"/>
                    <w:jc w:val="center"/>
                    <w:rPr>
                      <w:rFonts w:hint="eastAsia" w:ascii="宋体" w:hAnsi="宋体" w:eastAsia="宋体" w:cs="宋体"/>
                      <w:color w:val="auto"/>
                      <w:sz w:val="21"/>
                      <w:szCs w:val="21"/>
                      <w:highlight w:val="none"/>
                    </w:rPr>
                  </w:pPr>
                </w:p>
              </w:tc>
              <w:tc>
                <w:tcPr>
                  <w:tcW w:w="1335" w:type="dxa"/>
                  <w:noWrap w:val="0"/>
                  <w:vAlign w:val="center"/>
                </w:tcPr>
                <w:p w14:paraId="1B84DA6B">
                  <w:pPr>
                    <w:snapToGrid w:val="0"/>
                    <w:jc w:val="center"/>
                    <w:rPr>
                      <w:rFonts w:hint="eastAsia" w:ascii="宋体" w:hAnsi="宋体" w:eastAsia="宋体" w:cs="宋体"/>
                      <w:color w:val="auto"/>
                      <w:sz w:val="21"/>
                      <w:szCs w:val="21"/>
                      <w:highlight w:val="none"/>
                    </w:rPr>
                  </w:pPr>
                </w:p>
              </w:tc>
              <w:tc>
                <w:tcPr>
                  <w:tcW w:w="1426" w:type="dxa"/>
                  <w:noWrap w:val="0"/>
                  <w:vAlign w:val="center"/>
                </w:tcPr>
                <w:p w14:paraId="460896D3">
                  <w:pPr>
                    <w:snapToGrid w:val="0"/>
                    <w:jc w:val="center"/>
                    <w:rPr>
                      <w:rFonts w:hint="eastAsia" w:ascii="宋体" w:hAnsi="宋体" w:eastAsia="宋体" w:cs="宋体"/>
                      <w:color w:val="auto"/>
                      <w:sz w:val="21"/>
                      <w:szCs w:val="21"/>
                      <w:highlight w:val="none"/>
                    </w:rPr>
                  </w:pPr>
                </w:p>
              </w:tc>
              <w:tc>
                <w:tcPr>
                  <w:tcW w:w="1469" w:type="dxa"/>
                  <w:noWrap w:val="0"/>
                  <w:vAlign w:val="center"/>
                </w:tcPr>
                <w:p w14:paraId="5D0EE7F1">
                  <w:pPr>
                    <w:snapToGrid w:val="0"/>
                    <w:jc w:val="center"/>
                    <w:rPr>
                      <w:rFonts w:hint="eastAsia" w:ascii="宋体" w:hAnsi="宋体" w:eastAsia="宋体" w:cs="宋体"/>
                      <w:color w:val="auto"/>
                      <w:sz w:val="21"/>
                      <w:szCs w:val="21"/>
                      <w:highlight w:val="none"/>
                    </w:rPr>
                  </w:pPr>
                </w:p>
              </w:tc>
              <w:tc>
                <w:tcPr>
                  <w:tcW w:w="1151" w:type="dxa"/>
                  <w:noWrap w:val="0"/>
                  <w:vAlign w:val="center"/>
                </w:tcPr>
                <w:p w14:paraId="0B125204">
                  <w:pPr>
                    <w:snapToGrid w:val="0"/>
                    <w:jc w:val="center"/>
                    <w:rPr>
                      <w:rFonts w:hint="eastAsia" w:ascii="宋体" w:hAnsi="宋体" w:eastAsia="宋体" w:cs="宋体"/>
                      <w:color w:val="auto"/>
                      <w:sz w:val="21"/>
                      <w:szCs w:val="21"/>
                      <w:highlight w:val="none"/>
                    </w:rPr>
                  </w:pPr>
                </w:p>
              </w:tc>
            </w:tr>
            <w:tr w14:paraId="2EFE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011" w:type="dxa"/>
                  <w:noWrap w:val="0"/>
                  <w:vAlign w:val="center"/>
                </w:tcPr>
                <w:p w14:paraId="6AC90266">
                  <w:pPr>
                    <w:snapToGrid w:val="0"/>
                    <w:jc w:val="center"/>
                    <w:rPr>
                      <w:rFonts w:hint="eastAsia" w:ascii="宋体" w:hAnsi="宋体" w:eastAsia="宋体" w:cs="宋体"/>
                      <w:color w:val="auto"/>
                      <w:sz w:val="21"/>
                      <w:szCs w:val="21"/>
                      <w:highlight w:val="none"/>
                    </w:rPr>
                  </w:pPr>
                </w:p>
              </w:tc>
              <w:tc>
                <w:tcPr>
                  <w:tcW w:w="1576" w:type="dxa"/>
                  <w:noWrap w:val="0"/>
                  <w:vAlign w:val="center"/>
                </w:tcPr>
                <w:p w14:paraId="1DCF242B">
                  <w:pPr>
                    <w:snapToGrid w:val="0"/>
                    <w:jc w:val="center"/>
                    <w:rPr>
                      <w:rFonts w:hint="eastAsia" w:ascii="宋体" w:hAnsi="宋体" w:eastAsia="宋体" w:cs="宋体"/>
                      <w:color w:val="auto"/>
                      <w:sz w:val="21"/>
                      <w:szCs w:val="21"/>
                      <w:highlight w:val="none"/>
                    </w:rPr>
                  </w:pPr>
                </w:p>
              </w:tc>
              <w:tc>
                <w:tcPr>
                  <w:tcW w:w="1079" w:type="dxa"/>
                  <w:noWrap w:val="0"/>
                  <w:vAlign w:val="center"/>
                </w:tcPr>
                <w:p w14:paraId="379B1DC4">
                  <w:pPr>
                    <w:snapToGrid w:val="0"/>
                    <w:jc w:val="center"/>
                    <w:rPr>
                      <w:rFonts w:hint="eastAsia" w:ascii="宋体" w:hAnsi="宋体" w:eastAsia="宋体" w:cs="宋体"/>
                      <w:color w:val="auto"/>
                      <w:sz w:val="21"/>
                      <w:szCs w:val="21"/>
                      <w:highlight w:val="none"/>
                    </w:rPr>
                  </w:pPr>
                </w:p>
              </w:tc>
              <w:tc>
                <w:tcPr>
                  <w:tcW w:w="1335" w:type="dxa"/>
                  <w:noWrap w:val="0"/>
                  <w:vAlign w:val="center"/>
                </w:tcPr>
                <w:p w14:paraId="12C37504">
                  <w:pPr>
                    <w:snapToGrid w:val="0"/>
                    <w:jc w:val="center"/>
                    <w:rPr>
                      <w:rFonts w:hint="eastAsia" w:ascii="宋体" w:hAnsi="宋体" w:eastAsia="宋体" w:cs="宋体"/>
                      <w:color w:val="auto"/>
                      <w:sz w:val="21"/>
                      <w:szCs w:val="21"/>
                      <w:highlight w:val="none"/>
                    </w:rPr>
                  </w:pPr>
                </w:p>
              </w:tc>
              <w:tc>
                <w:tcPr>
                  <w:tcW w:w="1426" w:type="dxa"/>
                  <w:noWrap w:val="0"/>
                  <w:vAlign w:val="center"/>
                </w:tcPr>
                <w:p w14:paraId="63A0325E">
                  <w:pPr>
                    <w:snapToGrid w:val="0"/>
                    <w:jc w:val="center"/>
                    <w:rPr>
                      <w:rFonts w:hint="eastAsia" w:ascii="宋体" w:hAnsi="宋体" w:eastAsia="宋体" w:cs="宋体"/>
                      <w:color w:val="auto"/>
                      <w:sz w:val="21"/>
                      <w:szCs w:val="21"/>
                      <w:highlight w:val="none"/>
                    </w:rPr>
                  </w:pPr>
                </w:p>
              </w:tc>
              <w:tc>
                <w:tcPr>
                  <w:tcW w:w="1469" w:type="dxa"/>
                  <w:noWrap w:val="0"/>
                  <w:vAlign w:val="center"/>
                </w:tcPr>
                <w:p w14:paraId="0CD38B83">
                  <w:pPr>
                    <w:snapToGrid w:val="0"/>
                    <w:jc w:val="center"/>
                    <w:rPr>
                      <w:rFonts w:hint="eastAsia" w:ascii="宋体" w:hAnsi="宋体" w:eastAsia="宋体" w:cs="宋体"/>
                      <w:color w:val="auto"/>
                      <w:sz w:val="21"/>
                      <w:szCs w:val="21"/>
                      <w:highlight w:val="none"/>
                    </w:rPr>
                  </w:pPr>
                </w:p>
              </w:tc>
              <w:tc>
                <w:tcPr>
                  <w:tcW w:w="1151" w:type="dxa"/>
                  <w:noWrap w:val="0"/>
                  <w:vAlign w:val="center"/>
                </w:tcPr>
                <w:p w14:paraId="38DDB0C3">
                  <w:pPr>
                    <w:snapToGrid w:val="0"/>
                    <w:jc w:val="center"/>
                    <w:rPr>
                      <w:rFonts w:hint="eastAsia" w:ascii="宋体" w:hAnsi="宋体" w:eastAsia="宋体" w:cs="宋体"/>
                      <w:color w:val="auto"/>
                      <w:sz w:val="21"/>
                      <w:szCs w:val="21"/>
                      <w:highlight w:val="none"/>
                    </w:rPr>
                  </w:pPr>
                </w:p>
              </w:tc>
            </w:tr>
            <w:tr w14:paraId="5F72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11" w:type="dxa"/>
                  <w:noWrap w:val="0"/>
                  <w:vAlign w:val="center"/>
                </w:tcPr>
                <w:p w14:paraId="51937FF6">
                  <w:pPr>
                    <w:snapToGrid w:val="0"/>
                    <w:jc w:val="center"/>
                    <w:rPr>
                      <w:rFonts w:hint="eastAsia" w:ascii="宋体" w:hAnsi="宋体" w:eastAsia="宋体" w:cs="宋体"/>
                      <w:color w:val="auto"/>
                      <w:sz w:val="21"/>
                      <w:szCs w:val="21"/>
                      <w:highlight w:val="none"/>
                    </w:rPr>
                  </w:pPr>
                </w:p>
              </w:tc>
              <w:tc>
                <w:tcPr>
                  <w:tcW w:w="1576" w:type="dxa"/>
                  <w:noWrap w:val="0"/>
                  <w:vAlign w:val="center"/>
                </w:tcPr>
                <w:p w14:paraId="52EAB5D4">
                  <w:pPr>
                    <w:snapToGrid w:val="0"/>
                    <w:jc w:val="center"/>
                    <w:rPr>
                      <w:rFonts w:hint="eastAsia" w:ascii="宋体" w:hAnsi="宋体" w:eastAsia="宋体" w:cs="宋体"/>
                      <w:color w:val="auto"/>
                      <w:sz w:val="21"/>
                      <w:szCs w:val="21"/>
                      <w:highlight w:val="none"/>
                    </w:rPr>
                  </w:pPr>
                </w:p>
              </w:tc>
              <w:tc>
                <w:tcPr>
                  <w:tcW w:w="1079" w:type="dxa"/>
                  <w:noWrap w:val="0"/>
                  <w:vAlign w:val="center"/>
                </w:tcPr>
                <w:p w14:paraId="378E1753">
                  <w:pPr>
                    <w:snapToGrid w:val="0"/>
                    <w:jc w:val="center"/>
                    <w:rPr>
                      <w:rFonts w:hint="eastAsia" w:ascii="宋体" w:hAnsi="宋体" w:eastAsia="宋体" w:cs="宋体"/>
                      <w:color w:val="auto"/>
                      <w:sz w:val="21"/>
                      <w:szCs w:val="21"/>
                      <w:highlight w:val="none"/>
                    </w:rPr>
                  </w:pPr>
                </w:p>
              </w:tc>
              <w:tc>
                <w:tcPr>
                  <w:tcW w:w="1335" w:type="dxa"/>
                  <w:noWrap w:val="0"/>
                  <w:vAlign w:val="center"/>
                </w:tcPr>
                <w:p w14:paraId="3C5AE563">
                  <w:pPr>
                    <w:snapToGrid w:val="0"/>
                    <w:jc w:val="center"/>
                    <w:rPr>
                      <w:rFonts w:hint="eastAsia" w:ascii="宋体" w:hAnsi="宋体" w:eastAsia="宋体" w:cs="宋体"/>
                      <w:color w:val="auto"/>
                      <w:sz w:val="21"/>
                      <w:szCs w:val="21"/>
                      <w:highlight w:val="none"/>
                    </w:rPr>
                  </w:pPr>
                </w:p>
              </w:tc>
              <w:tc>
                <w:tcPr>
                  <w:tcW w:w="1426" w:type="dxa"/>
                  <w:noWrap w:val="0"/>
                  <w:vAlign w:val="center"/>
                </w:tcPr>
                <w:p w14:paraId="3944E008">
                  <w:pPr>
                    <w:snapToGrid w:val="0"/>
                    <w:jc w:val="center"/>
                    <w:rPr>
                      <w:rFonts w:hint="eastAsia" w:ascii="宋体" w:hAnsi="宋体" w:eastAsia="宋体" w:cs="宋体"/>
                      <w:color w:val="auto"/>
                      <w:sz w:val="21"/>
                      <w:szCs w:val="21"/>
                      <w:highlight w:val="none"/>
                    </w:rPr>
                  </w:pPr>
                </w:p>
              </w:tc>
              <w:tc>
                <w:tcPr>
                  <w:tcW w:w="1469" w:type="dxa"/>
                  <w:noWrap w:val="0"/>
                  <w:vAlign w:val="center"/>
                </w:tcPr>
                <w:p w14:paraId="1975BB6A">
                  <w:pPr>
                    <w:snapToGrid w:val="0"/>
                    <w:jc w:val="center"/>
                    <w:rPr>
                      <w:rFonts w:hint="eastAsia" w:ascii="宋体" w:hAnsi="宋体" w:eastAsia="宋体" w:cs="宋体"/>
                      <w:color w:val="auto"/>
                      <w:sz w:val="21"/>
                      <w:szCs w:val="21"/>
                      <w:highlight w:val="none"/>
                    </w:rPr>
                  </w:pPr>
                </w:p>
              </w:tc>
              <w:tc>
                <w:tcPr>
                  <w:tcW w:w="1151" w:type="dxa"/>
                  <w:noWrap w:val="0"/>
                  <w:vAlign w:val="center"/>
                </w:tcPr>
                <w:p w14:paraId="71DAFF07">
                  <w:pPr>
                    <w:snapToGrid w:val="0"/>
                    <w:jc w:val="center"/>
                    <w:rPr>
                      <w:rFonts w:hint="eastAsia" w:ascii="宋体" w:hAnsi="宋体" w:eastAsia="宋体" w:cs="宋体"/>
                      <w:color w:val="auto"/>
                      <w:sz w:val="21"/>
                      <w:szCs w:val="21"/>
                      <w:highlight w:val="none"/>
                    </w:rPr>
                  </w:pPr>
                </w:p>
              </w:tc>
            </w:tr>
          </w:tbl>
          <w:p w14:paraId="6BA800FF">
            <w:pPr>
              <w:spacing w:line="360" w:lineRule="auto"/>
              <w:ind w:right="480"/>
              <w:jc w:val="left"/>
              <w:rPr>
                <w:rFonts w:hint="eastAsia" w:ascii="方正仿宋_GBK" w:hAnsi="方正仿宋_GBK" w:eastAsia="方正仿宋_GBK" w:cs="方正仿宋_GBK"/>
                <w:color w:val="auto"/>
                <w:sz w:val="24"/>
                <w:szCs w:val="24"/>
                <w:highlight w:val="none"/>
                <w:lang w:bidi="ar-SA"/>
              </w:rPr>
            </w:pPr>
          </w:p>
          <w:p w14:paraId="7024B263">
            <w:pPr>
              <w:spacing w:line="360" w:lineRule="auto"/>
              <w:ind w:right="480"/>
              <w:jc w:val="left"/>
              <w:rPr>
                <w:rFonts w:hint="eastAsia" w:ascii="方正仿宋_GBK" w:hAnsi="方正仿宋_GBK" w:eastAsia="方正仿宋_GBK" w:cs="方正仿宋_GBK"/>
                <w:b/>
                <w:bCs/>
                <w:color w:val="auto"/>
                <w:sz w:val="24"/>
                <w:szCs w:val="24"/>
                <w:highlight w:val="none"/>
                <w:lang w:bidi="ar-SA"/>
              </w:rPr>
            </w:pPr>
            <w:r>
              <w:rPr>
                <w:rFonts w:hint="eastAsia" w:ascii="宋体" w:hAnsi="宋体" w:eastAsia="宋体" w:cs="宋体"/>
                <w:b/>
                <w:bCs/>
                <w:color w:val="auto"/>
                <w:sz w:val="24"/>
                <w:szCs w:val="24"/>
                <w:highlight w:val="none"/>
                <w:lang w:bidi="ar-SA"/>
              </w:rPr>
              <w:t>注：各单项报价不得高于</w:t>
            </w:r>
            <w:r>
              <w:rPr>
                <w:rFonts w:hint="eastAsia" w:ascii="宋体" w:hAnsi="宋体" w:eastAsia="宋体" w:cs="宋体"/>
                <w:b/>
                <w:bCs/>
                <w:color w:val="auto"/>
                <w:sz w:val="24"/>
                <w:szCs w:val="24"/>
                <w:highlight w:val="none"/>
                <w:lang w:val="en-US" w:eastAsia="zh-CN" w:bidi="ar-SA"/>
              </w:rPr>
              <w:t>单价</w:t>
            </w:r>
            <w:r>
              <w:rPr>
                <w:rFonts w:hint="eastAsia" w:ascii="宋体" w:hAnsi="宋体" w:eastAsia="宋体" w:cs="宋体"/>
                <w:b/>
                <w:bCs/>
                <w:color w:val="auto"/>
                <w:sz w:val="24"/>
                <w:szCs w:val="24"/>
                <w:highlight w:val="none"/>
                <w:lang w:bidi="ar-SA"/>
              </w:rPr>
              <w:t>限价。</w:t>
            </w:r>
          </w:p>
          <w:p w14:paraId="27AAA4C8">
            <w:pPr>
              <w:rPr>
                <w:rFonts w:ascii="Times New Roman" w:hAnsi="Times New Roman" w:eastAsia="宋体" w:cs="Times New Roman"/>
                <w:color w:val="auto"/>
                <w:sz w:val="21"/>
                <w:szCs w:val="21"/>
                <w:highlight w:val="none"/>
                <w:lang w:val="en-US" w:eastAsia="zh-CN" w:bidi="ar-SA"/>
              </w:rPr>
            </w:pPr>
            <w:r>
              <w:rPr>
                <w:rFonts w:ascii="宋体" w:hAnsi="宋体" w:cs="宋体"/>
                <w:color w:val="auto"/>
                <w:sz w:val="30"/>
                <w:szCs w:val="30"/>
                <w:highlight w:val="none"/>
              </w:rPr>
              <w:br w:type="page"/>
            </w:r>
          </w:p>
          <w:p w14:paraId="072C3C17">
            <w:pPr>
              <w:spacing w:line="460" w:lineRule="exact"/>
              <w:ind w:right="480"/>
              <w:jc w:val="left"/>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二、一般资格文件</w:t>
            </w:r>
          </w:p>
          <w:p w14:paraId="3C483EF3">
            <w:pPr>
              <w:snapToGrid w:val="0"/>
              <w:spacing w:line="460" w:lineRule="exact"/>
              <w:ind w:firstLine="480" w:firstLineChars="200"/>
              <w:rPr>
                <w:rFonts w:hint="eastAsia" w:ascii="宋体" w:hAnsi="宋体" w:cs="宋体"/>
                <w:b w:val="0"/>
                <w:bCs/>
                <w:color w:val="auto"/>
                <w:sz w:val="24"/>
                <w:szCs w:val="24"/>
                <w:highlight w:val="none"/>
              </w:rPr>
            </w:pPr>
          </w:p>
          <w:p w14:paraId="66CC4960">
            <w:pPr>
              <w:tabs>
                <w:tab w:val="left" w:pos="6300"/>
              </w:tabs>
              <w:snapToGrid w:val="0"/>
              <w:spacing w:line="460" w:lineRule="exact"/>
              <w:jc w:val="center"/>
              <w:outlineLvl w:val="0"/>
              <w:rPr>
                <w:rFonts w:hint="eastAsia" w:ascii="宋体" w:hAnsi="宋体" w:cs="宋体"/>
                <w:b/>
                <w:bCs w:val="0"/>
                <w:color w:val="auto"/>
                <w:sz w:val="24"/>
                <w:szCs w:val="24"/>
                <w:highlight w:val="none"/>
              </w:rPr>
            </w:pPr>
          </w:p>
          <w:p w14:paraId="47B765C0">
            <w:pPr>
              <w:tabs>
                <w:tab w:val="left" w:pos="6300"/>
              </w:tabs>
              <w:snapToGrid w:val="0"/>
              <w:spacing w:line="460" w:lineRule="exact"/>
              <w:jc w:val="center"/>
              <w:outlineLvl w:val="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法定代表人身份证明书</w:t>
            </w:r>
          </w:p>
          <w:p w14:paraId="74833F9B">
            <w:pPr>
              <w:tabs>
                <w:tab w:val="left" w:pos="6300"/>
              </w:tabs>
              <w:snapToGrid w:val="0"/>
              <w:spacing w:line="460" w:lineRule="exact"/>
              <w:rPr>
                <w:rFonts w:hint="eastAsia" w:ascii="宋体" w:hAnsi="宋体" w:cs="宋体"/>
                <w:b w:val="0"/>
                <w:bCs/>
                <w:color w:val="auto"/>
                <w:sz w:val="24"/>
                <w:szCs w:val="24"/>
                <w:highlight w:val="none"/>
              </w:rPr>
            </w:pPr>
          </w:p>
          <w:p w14:paraId="1376B0B9">
            <w:pPr>
              <w:tabs>
                <w:tab w:val="left" w:pos="6300"/>
              </w:tabs>
              <w:snapToGrid w:val="0"/>
              <w:spacing w:line="460" w:lineRule="exact"/>
              <w:ind w:firstLine="640" w:firstLineChars="267"/>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__________（法定代表人姓名）在_______________（供应商名称）任____________（职务名称）职务，是________________（供应商名称）的法定代表人。</w:t>
            </w:r>
          </w:p>
          <w:p w14:paraId="6F299146">
            <w:pPr>
              <w:tabs>
                <w:tab w:val="left" w:pos="6300"/>
              </w:tabs>
              <w:snapToGrid w:val="0"/>
              <w:spacing w:line="460" w:lineRule="exact"/>
              <w:ind w:firstLine="573"/>
              <w:rPr>
                <w:rFonts w:hint="eastAsia" w:ascii="宋体" w:hAnsi="宋体" w:cs="宋体"/>
                <w:b w:val="0"/>
                <w:bCs/>
                <w:color w:val="auto"/>
                <w:sz w:val="24"/>
                <w:szCs w:val="24"/>
                <w:highlight w:val="none"/>
              </w:rPr>
            </w:pPr>
          </w:p>
          <w:p w14:paraId="460EB13F">
            <w:pPr>
              <w:tabs>
                <w:tab w:val="left" w:pos="6300"/>
              </w:tabs>
              <w:snapToGrid w:val="0"/>
              <w:spacing w:line="460" w:lineRule="exact"/>
              <w:ind w:firstLine="573"/>
              <w:outlineLvl w:val="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特此证明。</w:t>
            </w:r>
          </w:p>
          <w:p w14:paraId="2E6FE1EF">
            <w:pPr>
              <w:tabs>
                <w:tab w:val="left" w:pos="6300"/>
              </w:tabs>
              <w:snapToGrid w:val="0"/>
              <w:spacing w:line="460" w:lineRule="exact"/>
              <w:rPr>
                <w:rFonts w:hint="eastAsia" w:ascii="宋体" w:hAnsi="宋体" w:cs="宋体"/>
                <w:b w:val="0"/>
                <w:bCs/>
                <w:color w:val="auto"/>
                <w:sz w:val="24"/>
                <w:szCs w:val="24"/>
                <w:highlight w:val="none"/>
              </w:rPr>
            </w:pPr>
          </w:p>
          <w:p w14:paraId="0503612B">
            <w:pPr>
              <w:tabs>
                <w:tab w:val="left" w:pos="6300"/>
              </w:tabs>
              <w:snapToGrid w:val="0"/>
              <w:spacing w:line="460" w:lineRule="exact"/>
              <w:outlineLvl w:val="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（供应商全称）</w:t>
            </w:r>
          </w:p>
          <w:p w14:paraId="17CCF356">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年   月   日</w:t>
            </w:r>
          </w:p>
          <w:p w14:paraId="2202418E">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（公章）</w:t>
            </w:r>
          </w:p>
          <w:p w14:paraId="6C809C31">
            <w:pPr>
              <w:tabs>
                <w:tab w:val="left" w:pos="6300"/>
              </w:tabs>
              <w:snapToGrid w:val="0"/>
              <w:spacing w:line="460" w:lineRule="exact"/>
              <w:rPr>
                <w:rFonts w:hint="eastAsia" w:ascii="宋体" w:hAnsi="宋体" w:cs="宋体"/>
                <w:b w:val="0"/>
                <w:bCs/>
                <w:color w:val="auto"/>
                <w:sz w:val="24"/>
                <w:szCs w:val="24"/>
                <w:highlight w:val="none"/>
              </w:rPr>
            </w:pPr>
          </w:p>
          <w:p w14:paraId="57FC914F">
            <w:pPr>
              <w:tabs>
                <w:tab w:val="left" w:pos="6300"/>
              </w:tabs>
              <w:snapToGrid w:val="0"/>
              <w:spacing w:line="460" w:lineRule="exact"/>
              <w:rPr>
                <w:rFonts w:hint="eastAsia" w:ascii="宋体" w:hAnsi="宋体" w:cs="宋体"/>
                <w:b w:val="0"/>
                <w:bCs/>
                <w:color w:val="auto"/>
                <w:sz w:val="24"/>
                <w:szCs w:val="24"/>
                <w:highlight w:val="none"/>
              </w:rPr>
            </w:pPr>
          </w:p>
          <w:p w14:paraId="060D9E6E">
            <w:pPr>
              <w:tabs>
                <w:tab w:val="left" w:pos="6300"/>
              </w:tabs>
              <w:snapToGrid w:val="0"/>
              <w:spacing w:line="460" w:lineRule="exact"/>
              <w:rPr>
                <w:rFonts w:hint="eastAsia" w:ascii="宋体" w:hAnsi="宋体" w:cs="宋体"/>
                <w:b w:val="0"/>
                <w:bCs/>
                <w:color w:val="auto"/>
                <w:sz w:val="24"/>
                <w:szCs w:val="24"/>
                <w:highlight w:val="none"/>
              </w:rPr>
            </w:pPr>
          </w:p>
          <w:p w14:paraId="32928BDB">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附：上述法定代表人住址：</w:t>
            </w:r>
          </w:p>
          <w:p w14:paraId="7E55C22A">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身份证号码：</w:t>
            </w:r>
          </w:p>
          <w:p w14:paraId="189ADBEA">
            <w:pPr>
              <w:tabs>
                <w:tab w:val="left" w:pos="6300"/>
              </w:tabs>
              <w:snapToGrid w:val="0"/>
              <w:spacing w:line="460" w:lineRule="exact"/>
              <w:rPr>
                <w:rFonts w:hint="eastAsia" w:ascii="宋体" w:hAnsi="宋体" w:cs="宋体"/>
                <w:b w:val="0"/>
                <w:bCs/>
                <w:color w:val="auto"/>
                <w:sz w:val="24"/>
                <w:szCs w:val="24"/>
                <w:highlight w:val="none"/>
              </w:rPr>
            </w:pPr>
          </w:p>
          <w:p w14:paraId="5F17B7FE">
            <w:pPr>
              <w:tabs>
                <w:tab w:val="left" w:pos="6300"/>
              </w:tabs>
              <w:snapToGrid w:val="0"/>
              <w:spacing w:line="460" w:lineRule="exact"/>
              <w:ind w:firstLine="570"/>
              <w:rPr>
                <w:rFonts w:hint="eastAsia" w:ascii="宋体" w:hAnsi="宋体" w:cs="宋体"/>
                <w:color w:val="auto"/>
                <w:sz w:val="30"/>
                <w:szCs w:val="30"/>
                <w:highlight w:val="none"/>
              </w:rPr>
            </w:pPr>
            <w:r>
              <w:rPr>
                <w:rFonts w:hint="eastAsia" w:ascii="宋体" w:hAnsi="宋体" w:cs="宋体"/>
                <w:b w:val="0"/>
                <w:bCs/>
                <w:color w:val="auto"/>
                <w:sz w:val="24"/>
                <w:szCs w:val="24"/>
                <w:highlight w:val="none"/>
              </w:rPr>
              <w:t>（附：法定代表人身份证复印件）</w:t>
            </w:r>
          </w:p>
          <w:p w14:paraId="56D3260F">
            <w:pPr>
              <w:tabs>
                <w:tab w:val="left" w:pos="6300"/>
              </w:tabs>
              <w:snapToGrid w:val="0"/>
              <w:spacing w:line="460" w:lineRule="exact"/>
              <w:jc w:val="center"/>
              <w:outlineLvl w:val="0"/>
              <w:rPr>
                <w:rFonts w:hint="eastAsia" w:ascii="宋体" w:hAnsi="宋体" w:cs="宋体"/>
                <w:b w:val="0"/>
                <w:bCs/>
                <w:color w:val="auto"/>
                <w:sz w:val="24"/>
                <w:szCs w:val="24"/>
                <w:highlight w:val="none"/>
              </w:rPr>
            </w:pPr>
            <w:r>
              <w:rPr>
                <w:rFonts w:hint="eastAsia" w:ascii="宋体" w:hAnsi="宋体" w:cs="宋体"/>
                <w:b/>
                <w:color w:val="auto"/>
                <w:sz w:val="30"/>
                <w:szCs w:val="30"/>
                <w:highlight w:val="none"/>
              </w:rPr>
              <w:br w:type="page"/>
            </w:r>
            <w:r>
              <w:rPr>
                <w:rFonts w:hint="eastAsia" w:ascii="宋体" w:hAnsi="宋体" w:cs="宋体"/>
                <w:b/>
                <w:bCs w:val="0"/>
                <w:color w:val="auto"/>
                <w:sz w:val="24"/>
                <w:szCs w:val="24"/>
                <w:highlight w:val="none"/>
              </w:rPr>
              <w:t>法定代表人授权委托书</w:t>
            </w:r>
          </w:p>
          <w:p w14:paraId="70C5249D">
            <w:pPr>
              <w:tabs>
                <w:tab w:val="left" w:pos="6300"/>
              </w:tabs>
              <w:snapToGrid w:val="0"/>
              <w:spacing w:line="460" w:lineRule="exact"/>
              <w:rPr>
                <w:rFonts w:hint="eastAsia" w:ascii="宋体" w:hAnsi="宋体" w:cs="宋体"/>
                <w:b w:val="0"/>
                <w:bCs/>
                <w:color w:val="auto"/>
                <w:sz w:val="24"/>
                <w:szCs w:val="24"/>
                <w:highlight w:val="none"/>
              </w:rPr>
            </w:pPr>
          </w:p>
          <w:p w14:paraId="7552AE9F">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项目名称：_______________</w:t>
            </w:r>
          </w:p>
          <w:p w14:paraId="18D8AD1E">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日    期：_______________</w:t>
            </w:r>
          </w:p>
          <w:p w14:paraId="6DACEA9F">
            <w:pPr>
              <w:tabs>
                <w:tab w:val="left" w:pos="6300"/>
              </w:tabs>
              <w:snapToGrid w:val="0"/>
              <w:spacing w:line="460" w:lineRule="exac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rPr>
              <w:t>致：</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p>
          <w:p w14:paraId="3F96F9D5">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_____________________（供应商名称）是中华人民共和国合法企业，法定地址______________________________。</w:t>
            </w:r>
          </w:p>
          <w:p w14:paraId="0A88B64F">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_________（供应商法定代表人姓名）特授权_________（被授权人姓名及身份证代码）代表我单位全权办理对上述项目的遴选、谈判、签约等工作，并签署全部有关的文件、协议及合同。</w:t>
            </w:r>
          </w:p>
          <w:p w14:paraId="61CEFBA9">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我单位对被授权人的签字负全部责任。</w:t>
            </w:r>
          </w:p>
          <w:p w14:paraId="04C4DB9B">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在撤销授权的书面通知以前，本授权书一直有效。被授权人签署的所有文件（在授权书有效期内签署的）不因授权的撤销而失效。</w:t>
            </w:r>
          </w:p>
          <w:p w14:paraId="0830A1ED">
            <w:pPr>
              <w:tabs>
                <w:tab w:val="left" w:pos="6300"/>
              </w:tabs>
              <w:snapToGrid w:val="0"/>
              <w:spacing w:line="460" w:lineRule="exact"/>
              <w:rPr>
                <w:rFonts w:hint="eastAsia" w:ascii="宋体" w:hAnsi="宋体" w:cs="宋体"/>
                <w:b w:val="0"/>
                <w:bCs/>
                <w:color w:val="auto"/>
                <w:sz w:val="24"/>
                <w:szCs w:val="24"/>
                <w:highlight w:val="none"/>
              </w:rPr>
            </w:pPr>
          </w:p>
          <w:p w14:paraId="7CF86E7A">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被授权人：                                  法定代表人：</w:t>
            </w:r>
          </w:p>
          <w:p w14:paraId="7FA4F835">
            <w:pPr>
              <w:tabs>
                <w:tab w:val="left" w:pos="6300"/>
              </w:tabs>
              <w:snapToGrid w:val="0"/>
              <w:spacing w:line="46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（签字或盖章）                                （签字或盖章）：</w:t>
            </w:r>
          </w:p>
          <w:p w14:paraId="7353C726">
            <w:pPr>
              <w:tabs>
                <w:tab w:val="left" w:pos="6300"/>
              </w:tabs>
              <w:snapToGrid w:val="0"/>
              <w:spacing w:line="460" w:lineRule="exact"/>
              <w:ind w:firstLine="570"/>
              <w:rPr>
                <w:rFonts w:hint="eastAsia" w:ascii="宋体" w:hAnsi="宋体" w:cs="宋体"/>
                <w:b w:val="0"/>
                <w:bCs/>
                <w:color w:val="auto"/>
                <w:sz w:val="24"/>
                <w:szCs w:val="24"/>
                <w:highlight w:val="none"/>
              </w:rPr>
            </w:pPr>
            <w:bookmarkStart w:id="51" w:name="OLE_LINK3"/>
            <w:bookmarkEnd w:id="51"/>
            <w:bookmarkStart w:id="52" w:name="OLE_LINK4"/>
            <w:bookmarkEnd w:id="52"/>
            <w:r>
              <w:rPr>
                <w:rFonts w:hint="eastAsia" w:ascii="宋体" w:hAnsi="宋体" w:cs="宋体"/>
                <w:b w:val="0"/>
                <w:bCs/>
                <w:color w:val="auto"/>
                <w:sz w:val="24"/>
                <w:szCs w:val="24"/>
                <w:highlight w:val="none"/>
              </w:rPr>
              <w:t>（附：被授权人身份证正、反面复印件）</w:t>
            </w:r>
          </w:p>
          <w:p w14:paraId="17920AE8">
            <w:pPr>
              <w:snapToGrid w:val="0"/>
              <w:spacing w:line="460" w:lineRule="exact"/>
              <w:ind w:right="480"/>
              <w:jc w:val="center"/>
              <w:rPr>
                <w:rFonts w:hint="eastAsia" w:ascii="宋体" w:hAnsi="宋体" w:cs="宋体"/>
                <w:b w:val="0"/>
                <w:bCs/>
                <w:color w:val="auto"/>
                <w:sz w:val="24"/>
                <w:szCs w:val="24"/>
                <w:highlight w:val="none"/>
              </w:rPr>
            </w:pPr>
          </w:p>
          <w:p w14:paraId="79C8E425">
            <w:pPr>
              <w:snapToGrid w:val="0"/>
              <w:spacing w:line="460" w:lineRule="exact"/>
              <w:ind w:right="48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（供应商公章）</w:t>
            </w:r>
          </w:p>
          <w:p w14:paraId="23B02576">
            <w:pPr>
              <w:snapToGrid w:val="0"/>
              <w:spacing w:line="460" w:lineRule="exact"/>
              <w:ind w:right="48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年   月   日</w:t>
            </w:r>
          </w:p>
          <w:p w14:paraId="60CC8094">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3D37DC8A">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624C35B9">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0F8A5C94">
            <w:pPr>
              <w:tabs>
                <w:tab w:val="left" w:pos="6300"/>
              </w:tabs>
              <w:snapToGrid w:val="0"/>
              <w:spacing w:line="460" w:lineRule="exact"/>
              <w:jc w:val="center"/>
              <w:outlineLvl w:val="0"/>
              <w:rPr>
                <w:rFonts w:hint="eastAsia" w:ascii="宋体" w:hAnsi="宋体" w:cs="宋体"/>
                <w:b/>
                <w:bCs w:val="0"/>
                <w:color w:val="auto"/>
                <w:sz w:val="24"/>
                <w:szCs w:val="24"/>
                <w:highlight w:val="none"/>
              </w:rPr>
            </w:pPr>
            <w:r>
              <w:rPr>
                <w:rFonts w:hint="eastAsia" w:ascii="宋体" w:hAnsi="宋体" w:cs="宋体"/>
                <w:b w:val="0"/>
                <w:bCs/>
                <w:color w:val="auto"/>
                <w:sz w:val="24"/>
                <w:szCs w:val="24"/>
                <w:highlight w:val="none"/>
              </w:rPr>
              <w:br w:type="page"/>
            </w:r>
            <w:r>
              <w:rPr>
                <w:rFonts w:hint="eastAsia" w:ascii="宋体" w:hAnsi="宋体" w:cs="宋体"/>
                <w:b/>
                <w:bCs w:val="0"/>
                <w:color w:val="auto"/>
                <w:sz w:val="24"/>
                <w:szCs w:val="24"/>
                <w:highlight w:val="none"/>
              </w:rPr>
              <w:t>遴选承诺函</w:t>
            </w:r>
          </w:p>
          <w:p w14:paraId="00766AF6">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6AB353CA">
            <w:pPr>
              <w:tabs>
                <w:tab w:val="left" w:pos="6300"/>
              </w:tabs>
              <w:snapToGrid w:val="0"/>
              <w:spacing w:line="460" w:lineRule="exac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r>
              <w:rPr>
                <w:rFonts w:hint="eastAsia" w:ascii="宋体" w:hAnsi="宋体" w:cs="宋体"/>
                <w:b w:val="0"/>
                <w:bCs/>
                <w:color w:val="auto"/>
                <w:sz w:val="24"/>
                <w:szCs w:val="24"/>
                <w:highlight w:val="none"/>
                <w:u w:val="single"/>
                <w:lang w:val="en-US" w:eastAsia="zh-CN"/>
              </w:rPr>
              <w:t>*</w:t>
            </w:r>
          </w:p>
          <w:p w14:paraId="5B1EA29D">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我方收到____________________________（本次采购项目名称）的遴选文件，经详细研究，决定参加该采购项目。</w:t>
            </w:r>
          </w:p>
          <w:p w14:paraId="392A5EAB">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1.我方完全理解和接受贵方遴选文件的规定和要求，愿意按照遴选文件中的要求，提供本项目的技术服务。</w:t>
            </w:r>
          </w:p>
          <w:p w14:paraId="166ED9E4">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2.我方提交的所有响应文件、资料都是准确和真实的，如有虚假或隐瞒，我方愿意承担一切法律责任。我方承诺：本次谈判的有效期为90天。</w:t>
            </w:r>
          </w:p>
          <w:p w14:paraId="1DFD84A3">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3.我方若成为成交供应商，我方将履行遴选文件中规定的各项要求以及我方响应文件的各项承诺，以最终遴选采购结果签订合同，按《</w:t>
            </w:r>
            <w:r>
              <w:rPr>
                <w:rFonts w:hint="eastAsia" w:ascii="宋体" w:hAnsi="宋体" w:eastAsia="宋体" w:cs="Times New Roman"/>
                <w:b w:val="0"/>
                <w:color w:val="auto"/>
                <w:kern w:val="2"/>
                <w:sz w:val="24"/>
                <w:szCs w:val="21"/>
                <w:lang w:val="en-US" w:eastAsia="zh-CN" w:bidi="ar-SA"/>
              </w:rPr>
              <w:t>中华人民共和国民法典</w:t>
            </w:r>
            <w:r>
              <w:rPr>
                <w:rFonts w:hint="eastAsia" w:ascii="宋体" w:hAnsi="宋体" w:cs="宋体"/>
                <w:b w:val="0"/>
                <w:bCs/>
                <w:color w:val="auto"/>
                <w:sz w:val="24"/>
                <w:szCs w:val="24"/>
                <w:highlight w:val="none"/>
              </w:rPr>
              <w:t>》、《</w:t>
            </w:r>
            <w:r>
              <w:rPr>
                <w:rFonts w:hint="eastAsia" w:ascii="宋体" w:hAnsi="宋体" w:eastAsia="宋体" w:cs="Times New Roman"/>
                <w:b w:val="0"/>
                <w:color w:val="auto"/>
                <w:kern w:val="2"/>
                <w:sz w:val="24"/>
                <w:szCs w:val="21"/>
                <w:lang w:val="en-US" w:eastAsia="zh-CN" w:bidi="ar-SA"/>
              </w:rPr>
              <w:t>中华人民共和国政府采购法</w:t>
            </w:r>
            <w:r>
              <w:rPr>
                <w:rFonts w:hint="eastAsia" w:ascii="宋体" w:hAnsi="宋体" w:cs="宋体"/>
                <w:b w:val="0"/>
                <w:bCs/>
                <w:color w:val="auto"/>
                <w:sz w:val="24"/>
                <w:szCs w:val="24"/>
                <w:highlight w:val="none"/>
              </w:rPr>
              <w:t>》及合同约定条款承担我方责任。</w:t>
            </w:r>
          </w:p>
          <w:p w14:paraId="745D9F6D">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4.本承诺函将成为合同不可分割的一部分，与合同具有同等的法律效力。</w:t>
            </w:r>
          </w:p>
          <w:p w14:paraId="1EE0209A">
            <w:pPr>
              <w:tabs>
                <w:tab w:val="left" w:pos="6300"/>
              </w:tabs>
              <w:snapToGrid w:val="0"/>
              <w:spacing w:line="460" w:lineRule="exact"/>
              <w:ind w:firstLine="480" w:firstLineChars="200"/>
              <w:rPr>
                <w:rFonts w:hint="eastAsia" w:ascii="宋体" w:hAnsi="宋体" w:cs="宋体"/>
                <w:b w:val="0"/>
                <w:bCs/>
                <w:color w:val="auto"/>
                <w:sz w:val="24"/>
                <w:szCs w:val="24"/>
                <w:highlight w:val="none"/>
              </w:rPr>
            </w:pPr>
          </w:p>
          <w:p w14:paraId="1344A3F6">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供应商（公章）：</w:t>
            </w:r>
          </w:p>
          <w:p w14:paraId="14B6134F">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地址：  </w:t>
            </w:r>
          </w:p>
          <w:p w14:paraId="41DC3FF2">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电话：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 xml:space="preserve"> 传真：</w:t>
            </w:r>
          </w:p>
          <w:p w14:paraId="034F5165">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网址：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邮编：</w:t>
            </w:r>
          </w:p>
          <w:p w14:paraId="3A427C1C">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联系人：</w:t>
            </w:r>
          </w:p>
          <w:p w14:paraId="1C8E21B7">
            <w:pPr>
              <w:snapToGrid w:val="0"/>
              <w:spacing w:line="460" w:lineRule="exact"/>
              <w:ind w:firstLine="480" w:firstLineChars="200"/>
              <w:rPr>
                <w:rFonts w:hint="eastAsia" w:ascii="宋体" w:hAnsi="宋体" w:cs="宋体"/>
                <w:b/>
                <w:bCs/>
                <w:color w:val="auto"/>
                <w:sz w:val="30"/>
                <w:szCs w:val="30"/>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 xml:space="preserve">     年   月   日</w:t>
            </w:r>
            <w:bookmarkStart w:id="53" w:name="_Toc403569799"/>
            <w:bookmarkStart w:id="54" w:name="_Toc342913420"/>
            <w:bookmarkStart w:id="55" w:name="_Toc313888361"/>
            <w:bookmarkStart w:id="56" w:name="_Toc313008357"/>
            <w:r>
              <w:rPr>
                <w:rFonts w:hint="eastAsia" w:ascii="宋体" w:hAnsi="宋体" w:cs="宋体"/>
                <w:b/>
                <w:bCs/>
                <w:color w:val="auto"/>
                <w:sz w:val="30"/>
                <w:szCs w:val="30"/>
                <w:highlight w:val="none"/>
              </w:rPr>
              <w:br w:type="page"/>
            </w:r>
          </w:p>
          <w:p w14:paraId="4FEFF8D7">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3493ACE4">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73E80A1E">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18832B8">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0C0E64BD">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BCBE281">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05642CB5">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66E1CC9">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诚信声明</w:t>
            </w:r>
          </w:p>
          <w:p w14:paraId="195E95FC">
            <w:pPr>
              <w:tabs>
                <w:tab w:val="left" w:pos="6300"/>
              </w:tabs>
              <w:snapToGrid w:val="0"/>
              <w:spacing w:line="460" w:lineRule="exact"/>
              <w:jc w:val="center"/>
              <w:rPr>
                <w:rFonts w:hint="eastAsia" w:ascii="宋体" w:hAnsi="宋体" w:cs="宋体"/>
                <w:b w:val="0"/>
                <w:bCs/>
                <w:color w:val="auto"/>
                <w:sz w:val="24"/>
                <w:szCs w:val="24"/>
                <w:highlight w:val="none"/>
              </w:rPr>
            </w:pPr>
          </w:p>
          <w:p w14:paraId="6D652DA8">
            <w:pPr>
              <w:tabs>
                <w:tab w:val="left" w:pos="6300"/>
              </w:tabs>
              <w:snapToGrid w:val="0"/>
              <w:spacing w:line="460" w:lineRule="exact"/>
              <w:ind w:firstLine="480" w:firstLineChars="200"/>
              <w:rPr>
                <w:rFonts w:hint="eastAsia" w:ascii="宋体" w:hAnsi="宋体" w:cs="宋体"/>
                <w:b w:val="0"/>
                <w:bCs/>
                <w:color w:val="auto"/>
                <w:sz w:val="24"/>
                <w:szCs w:val="24"/>
                <w:highlight w:val="none"/>
                <w:u w:val="single"/>
              </w:rPr>
            </w:pPr>
            <w:r>
              <w:rPr>
                <w:rFonts w:hint="eastAsia" w:ascii="宋体" w:hAnsi="宋体" w:cs="宋体"/>
                <w:b w:val="0"/>
                <w:bCs/>
                <w:color w:val="auto"/>
                <w:sz w:val="24"/>
                <w:szCs w:val="24"/>
                <w:highlight w:val="none"/>
              </w:rPr>
              <w:t>采购项目名称：</w:t>
            </w:r>
          </w:p>
          <w:p w14:paraId="14514E82">
            <w:pPr>
              <w:tabs>
                <w:tab w:val="left" w:pos="6300"/>
              </w:tabs>
              <w:snapToGrid w:val="0"/>
              <w:spacing w:line="460" w:lineRule="exact"/>
              <w:rPr>
                <w:rFonts w:hint="eastAsia" w:ascii="宋体" w:hAnsi="宋体" w:cs="宋体"/>
                <w:b w:val="0"/>
                <w:bCs/>
                <w:color w:val="auto"/>
                <w:sz w:val="24"/>
                <w:szCs w:val="24"/>
                <w:highlight w:val="none"/>
              </w:rPr>
            </w:pPr>
          </w:p>
          <w:p w14:paraId="0E241CE6">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致：</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p>
          <w:p w14:paraId="78DA9173">
            <w:pPr>
              <w:pStyle w:val="24"/>
              <w:spacing w:line="460" w:lineRule="exact"/>
              <w:ind w:firstLine="480" w:firstLineChars="200"/>
              <w:rPr>
                <w:rFonts w:hint="eastAsia" w:hAnsi="宋体" w:cs="宋体"/>
                <w:b w:val="0"/>
                <w:bCs/>
                <w:color w:val="auto"/>
                <w:sz w:val="24"/>
                <w:szCs w:val="24"/>
                <w:highlight w:val="none"/>
              </w:rPr>
            </w:pPr>
            <w:r>
              <w:rPr>
                <w:rFonts w:hint="eastAsia" w:hAnsi="宋体" w:cs="宋体"/>
                <w:b w:val="0"/>
                <w:bCs/>
                <w:color w:val="auto"/>
                <w:sz w:val="24"/>
                <w:szCs w:val="24"/>
                <w:highlight w:val="none"/>
                <w:u w:val="single"/>
              </w:rPr>
              <w:t xml:space="preserve">                            </w:t>
            </w:r>
            <w:r>
              <w:rPr>
                <w:rFonts w:hint="eastAsia" w:hAnsi="宋体" w:cs="宋体"/>
                <w:b w:val="0"/>
                <w:bCs/>
                <w:color w:val="auto"/>
                <w:sz w:val="24"/>
                <w:szCs w:val="24"/>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w:t>
            </w:r>
            <w:r>
              <w:rPr>
                <w:rFonts w:hint="eastAsia" w:ascii="宋体" w:hAnsi="宋体" w:eastAsia="宋体" w:cs="Times New Roman"/>
                <w:b w:val="0"/>
                <w:color w:val="auto"/>
                <w:kern w:val="2"/>
                <w:sz w:val="24"/>
                <w:szCs w:val="21"/>
                <w:lang w:val="en-US" w:eastAsia="zh-CN" w:bidi="ar-SA"/>
              </w:rPr>
              <w:t>中华人民共和国政府采购法</w:t>
            </w:r>
            <w:r>
              <w:rPr>
                <w:rFonts w:hint="eastAsia" w:hAnsi="宋体" w:cs="宋体"/>
                <w:b w:val="0"/>
                <w:bCs/>
                <w:color w:val="auto"/>
                <w:sz w:val="24"/>
                <w:szCs w:val="24"/>
                <w:highlight w:val="none"/>
              </w:rPr>
              <w:t>》规定的供应商资格条件。我方对以上声明负全部法律责任。</w:t>
            </w:r>
          </w:p>
          <w:p w14:paraId="0BE1D22F">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特此声明。</w:t>
            </w:r>
          </w:p>
          <w:p w14:paraId="5BD9C665">
            <w:pPr>
              <w:tabs>
                <w:tab w:val="left" w:pos="6300"/>
              </w:tabs>
              <w:snapToGrid w:val="0"/>
              <w:spacing w:line="460" w:lineRule="exact"/>
              <w:jc w:val="center"/>
              <w:rPr>
                <w:rFonts w:hint="eastAsia" w:ascii="宋体" w:hAnsi="宋体" w:cs="宋体"/>
                <w:b w:val="0"/>
                <w:bCs/>
                <w:color w:val="auto"/>
                <w:sz w:val="24"/>
                <w:szCs w:val="24"/>
                <w:highlight w:val="none"/>
              </w:rPr>
            </w:pPr>
          </w:p>
          <w:p w14:paraId="62D73464">
            <w:pPr>
              <w:tabs>
                <w:tab w:val="left" w:pos="6300"/>
              </w:tabs>
              <w:snapToGrid w:val="0"/>
              <w:spacing w:line="460" w:lineRule="exact"/>
              <w:jc w:val="center"/>
              <w:rPr>
                <w:rFonts w:hint="eastAsia" w:ascii="宋体" w:hAnsi="宋体" w:cs="宋体"/>
                <w:b w:val="0"/>
                <w:bCs/>
                <w:color w:val="auto"/>
                <w:sz w:val="24"/>
                <w:szCs w:val="24"/>
                <w:highlight w:val="none"/>
              </w:rPr>
            </w:pPr>
          </w:p>
          <w:p w14:paraId="154F7EDE">
            <w:pPr>
              <w:tabs>
                <w:tab w:val="left" w:pos="6300"/>
              </w:tabs>
              <w:snapToGrid w:val="0"/>
              <w:spacing w:line="460" w:lineRule="exact"/>
              <w:ind w:firstLine="5280" w:firstLineChars="2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（供应商公章）</w:t>
            </w:r>
          </w:p>
          <w:p w14:paraId="4A3D20AE">
            <w:pPr>
              <w:tabs>
                <w:tab w:val="left" w:pos="6300"/>
              </w:tabs>
              <w:snapToGrid w:val="0"/>
              <w:spacing w:line="460" w:lineRule="exact"/>
              <w:ind w:right="360" w:firstLine="480" w:firstLineChars="200"/>
              <w:jc w:val="right"/>
              <w:rPr>
                <w:rFonts w:hint="eastAsia" w:ascii="宋体" w:hAnsi="宋体" w:cs="宋体"/>
                <w:b w:val="0"/>
                <w:bCs/>
                <w:color w:val="auto"/>
                <w:sz w:val="24"/>
                <w:szCs w:val="24"/>
                <w:highlight w:val="none"/>
              </w:rPr>
            </w:pPr>
          </w:p>
          <w:p w14:paraId="3967944E">
            <w:pPr>
              <w:tabs>
                <w:tab w:val="left" w:pos="6300"/>
              </w:tabs>
              <w:snapToGrid w:val="0"/>
              <w:spacing w:line="460" w:lineRule="exact"/>
              <w:ind w:right="360" w:firstLine="480" w:firstLineChars="20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年   月   日</w:t>
            </w:r>
          </w:p>
          <w:p w14:paraId="4467CCD3">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br w:type="page"/>
            </w:r>
            <w:r>
              <w:rPr>
                <w:rFonts w:hint="eastAsia" w:ascii="宋体" w:hAnsi="宋体" w:cs="宋体"/>
                <w:b/>
                <w:color w:val="auto"/>
                <w:sz w:val="24"/>
                <w:szCs w:val="24"/>
                <w:highlight w:val="none"/>
              </w:rPr>
              <w:t>三、特定资格条件证书或证明文件</w:t>
            </w:r>
          </w:p>
          <w:p w14:paraId="12CB5535">
            <w:pPr>
              <w:tabs>
                <w:tab w:val="left" w:pos="6300"/>
              </w:tabs>
              <w:snapToGrid w:val="0"/>
              <w:spacing w:line="460" w:lineRule="exac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提供证明材料复印件</w:t>
            </w:r>
          </w:p>
          <w:p w14:paraId="5D42E861">
            <w:pPr>
              <w:tabs>
                <w:tab w:val="left" w:pos="6300"/>
              </w:tabs>
              <w:snapToGrid w:val="0"/>
              <w:spacing w:line="460" w:lineRule="exact"/>
              <w:outlineLvl w:val="0"/>
              <w:rPr>
                <w:rFonts w:hint="eastAsia" w:ascii="宋体" w:hAnsi="宋体" w:cs="宋体"/>
                <w:color w:val="auto"/>
                <w:sz w:val="24"/>
                <w:szCs w:val="24"/>
                <w:highlight w:val="none"/>
              </w:rPr>
            </w:pPr>
          </w:p>
          <w:p w14:paraId="642651C7">
            <w:pPr>
              <w:tabs>
                <w:tab w:val="left" w:pos="6300"/>
              </w:tabs>
              <w:snapToGrid w:val="0"/>
              <w:spacing w:line="460" w:lineRule="exact"/>
              <w:outlineLvl w:val="0"/>
              <w:rPr>
                <w:rFonts w:hint="eastAsia" w:ascii="宋体" w:hAnsi="宋体" w:cs="宋体"/>
                <w:color w:val="auto"/>
                <w:sz w:val="24"/>
                <w:szCs w:val="24"/>
                <w:highlight w:val="none"/>
              </w:rPr>
            </w:pPr>
          </w:p>
          <w:p w14:paraId="31F0A857">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四、响应文件</w:t>
            </w:r>
          </w:p>
          <w:p w14:paraId="37B243A8">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（一）服务要求响应情况</w:t>
            </w:r>
          </w:p>
          <w:p w14:paraId="101C0551">
            <w:pPr>
              <w:tabs>
                <w:tab w:val="left" w:pos="6300"/>
              </w:tabs>
              <w:snapToGrid w:val="0"/>
              <w:spacing w:line="460" w:lineRule="exac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逐条对应项目需求及采购公告要求</w:t>
            </w:r>
          </w:p>
          <w:p w14:paraId="4FAE5EE1">
            <w:pPr>
              <w:tabs>
                <w:tab w:val="left" w:pos="6300"/>
              </w:tabs>
              <w:snapToGrid w:val="0"/>
              <w:spacing w:line="460" w:lineRule="exact"/>
              <w:outlineLvl w:val="0"/>
              <w:rPr>
                <w:rFonts w:hint="eastAsia" w:ascii="宋体" w:hAnsi="宋体" w:cs="宋体"/>
                <w:color w:val="auto"/>
                <w:sz w:val="30"/>
                <w:szCs w:val="30"/>
                <w:highlight w:val="none"/>
              </w:rPr>
            </w:pPr>
          </w:p>
          <w:bookmarkEnd w:id="53"/>
          <w:bookmarkEnd w:id="54"/>
          <w:bookmarkEnd w:id="55"/>
          <w:bookmarkEnd w:id="56"/>
          <w:p w14:paraId="0CF1F3CC">
            <w:pPr>
              <w:spacing w:line="460" w:lineRule="exact"/>
              <w:rPr>
                <w:rFonts w:hint="eastAsia" w:ascii="宋体" w:hAnsi="宋体" w:cs="宋体"/>
                <w:b/>
                <w:color w:val="auto"/>
                <w:sz w:val="24"/>
                <w:szCs w:val="24"/>
                <w:highlight w:val="none"/>
              </w:rPr>
            </w:pPr>
            <w:bookmarkStart w:id="57" w:name="_Toc283382459"/>
            <w:r>
              <w:rPr>
                <w:rFonts w:hint="eastAsia" w:ascii="宋体" w:hAnsi="宋体" w:cs="宋体"/>
                <w:b/>
                <w:color w:val="auto"/>
                <w:sz w:val="24"/>
                <w:szCs w:val="24"/>
                <w:highlight w:val="none"/>
              </w:rPr>
              <w:t>（二）响应偏离表</w:t>
            </w:r>
          </w:p>
          <w:p w14:paraId="6C729FEF">
            <w:pPr>
              <w:snapToGrid w:val="0"/>
              <w:spacing w:line="460" w:lineRule="exact"/>
              <w:jc w:val="center"/>
              <w:rPr>
                <w:rFonts w:hint="eastAsia" w:ascii="宋体" w:hAnsi="宋体" w:cs="宋体"/>
                <w:b/>
                <w:bCs/>
                <w:color w:val="auto"/>
                <w:sz w:val="24"/>
                <w:szCs w:val="24"/>
                <w:highlight w:val="none"/>
                <w:lang w:eastAsia="zh-CN"/>
              </w:rPr>
            </w:pPr>
          </w:p>
          <w:p w14:paraId="716E9F82">
            <w:pPr>
              <w:snapToGrid w:val="0"/>
              <w:spacing w:line="460" w:lineRule="exact"/>
              <w:jc w:val="center"/>
              <w:rPr>
                <w:rFonts w:hint="eastAsia" w:ascii="宋体" w:hAnsi="宋体" w:cs="宋体"/>
                <w:b/>
                <w:bCs/>
                <w:color w:val="auto"/>
                <w:sz w:val="24"/>
                <w:szCs w:val="24"/>
                <w:highlight w:val="none"/>
                <w:lang w:eastAsia="zh-CN"/>
              </w:rPr>
            </w:pPr>
          </w:p>
          <w:p w14:paraId="4E367907">
            <w:pPr>
              <w:snapToGrid w:val="0"/>
              <w:spacing w:line="4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服务要求</w:t>
            </w:r>
            <w:r>
              <w:rPr>
                <w:rFonts w:hint="eastAsia" w:ascii="宋体" w:hAnsi="宋体" w:cs="宋体"/>
                <w:b/>
                <w:bCs/>
                <w:color w:val="auto"/>
                <w:sz w:val="24"/>
                <w:szCs w:val="24"/>
                <w:highlight w:val="none"/>
              </w:rPr>
              <w:t>响应偏离表</w:t>
            </w:r>
          </w:p>
          <w:p w14:paraId="56731C06">
            <w:pPr>
              <w:snapToGrid w:val="0"/>
              <w:spacing w:line="46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对于遴选文件的服务要求，如有任何偏离请如实填写下表：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3179"/>
              <w:gridCol w:w="2434"/>
              <w:gridCol w:w="2355"/>
            </w:tblGrid>
            <w:tr w14:paraId="401F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510" w:type="dxa"/>
                  <w:noWrap/>
                  <w:vAlign w:val="center"/>
                </w:tcPr>
                <w:p w14:paraId="2E9C242D">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ign w:val="center"/>
                </w:tcPr>
                <w:p w14:paraId="6676D561">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项目需求</w:t>
                  </w:r>
                </w:p>
              </w:tc>
              <w:tc>
                <w:tcPr>
                  <w:tcW w:w="2434" w:type="dxa"/>
                  <w:noWrap/>
                  <w:vAlign w:val="center"/>
                </w:tcPr>
                <w:p w14:paraId="535DB59A">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ign w:val="center"/>
                </w:tcPr>
                <w:p w14:paraId="1D1B5B4E">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3145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46B363C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79" w:type="dxa"/>
                  <w:tcBorders>
                    <w:left w:val="single" w:color="auto" w:sz="4" w:space="0"/>
                  </w:tcBorders>
                  <w:noWrap/>
                  <w:vAlign w:val="center"/>
                </w:tcPr>
                <w:p w14:paraId="76CDDE33">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4CEC6563">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33ACC966">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84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961858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179" w:type="dxa"/>
                  <w:tcBorders>
                    <w:left w:val="single" w:color="auto" w:sz="4" w:space="0"/>
                  </w:tcBorders>
                  <w:noWrap/>
                  <w:vAlign w:val="center"/>
                </w:tcPr>
                <w:p w14:paraId="6886A82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057D7B69">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7EC579D">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0ED5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0CB2617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179" w:type="dxa"/>
                  <w:tcBorders>
                    <w:left w:val="single" w:color="auto" w:sz="4" w:space="0"/>
                  </w:tcBorders>
                  <w:noWrap/>
                  <w:vAlign w:val="center"/>
                </w:tcPr>
                <w:p w14:paraId="7283461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1141628">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4862D6BF">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50F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2840E5A3">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3179" w:type="dxa"/>
                  <w:tcBorders>
                    <w:left w:val="single" w:color="auto" w:sz="4" w:space="0"/>
                  </w:tcBorders>
                  <w:noWrap/>
                  <w:vAlign w:val="center"/>
                </w:tcPr>
                <w:p w14:paraId="6A6DCC9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38CF3FB">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4B83CAE">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4A1A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8A26051">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179" w:type="dxa"/>
                  <w:tcBorders>
                    <w:left w:val="single" w:color="auto" w:sz="4" w:space="0"/>
                  </w:tcBorders>
                  <w:noWrap/>
                  <w:vAlign w:val="center"/>
                </w:tcPr>
                <w:p w14:paraId="7F627C19">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44D1AD3D">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4EB47D5C">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457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5309363E">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3179" w:type="dxa"/>
                  <w:tcBorders>
                    <w:left w:val="single" w:color="auto" w:sz="4" w:space="0"/>
                  </w:tcBorders>
                  <w:noWrap/>
                  <w:vAlign w:val="center"/>
                </w:tcPr>
                <w:p w14:paraId="3E35350D">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5CBD1DF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C10C03A">
                  <w:pPr>
                    <w:tabs>
                      <w:tab w:val="left" w:pos="6300"/>
                    </w:tabs>
                    <w:snapToGrid w:val="0"/>
                    <w:spacing w:line="460" w:lineRule="exact"/>
                    <w:jc w:val="center"/>
                    <w:outlineLvl w:val="0"/>
                    <w:rPr>
                      <w:rFonts w:hint="eastAsia" w:ascii="宋体" w:hAnsi="宋体" w:cs="宋体"/>
                      <w:color w:val="auto"/>
                      <w:sz w:val="24"/>
                      <w:szCs w:val="24"/>
                      <w:highlight w:val="none"/>
                    </w:rPr>
                  </w:pPr>
                </w:p>
              </w:tc>
            </w:tr>
          </w:tbl>
          <w:p w14:paraId="131B7309">
            <w:pPr>
              <w:spacing w:line="460" w:lineRule="exact"/>
              <w:ind w:firstLine="600" w:firstLineChars="250"/>
              <w:rPr>
                <w:rFonts w:hint="eastAsia" w:ascii="宋体" w:hAnsi="宋体" w:cs="宋体"/>
                <w:color w:val="auto"/>
                <w:sz w:val="24"/>
                <w:szCs w:val="24"/>
                <w:highlight w:val="none"/>
              </w:rPr>
            </w:pPr>
          </w:p>
          <w:p w14:paraId="525DDD19">
            <w:pPr>
              <w:spacing w:line="4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法人授权代表：</w:t>
            </w:r>
          </w:p>
          <w:p w14:paraId="0E29C8CB">
            <w:pPr>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48414F6A">
            <w:pPr>
              <w:spacing w:line="460" w:lineRule="exact"/>
              <w:ind w:firstLine="360" w:firstLineChars="150"/>
              <w:rPr>
                <w:rFonts w:hint="eastAsia" w:ascii="宋体" w:hAnsi="宋体" w:cs="宋体"/>
                <w:color w:val="auto"/>
                <w:sz w:val="24"/>
                <w:szCs w:val="24"/>
                <w:highlight w:val="none"/>
              </w:rPr>
            </w:pPr>
          </w:p>
          <w:p w14:paraId="0E54110E">
            <w:pPr>
              <w:tabs>
                <w:tab w:val="left" w:pos="6300"/>
              </w:tabs>
              <w:snapToGrid w:val="0"/>
              <w:spacing w:line="46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4C582C5">
            <w:pPr>
              <w:tabs>
                <w:tab w:val="left" w:pos="6300"/>
              </w:tabs>
              <w:snapToGrid w:val="0"/>
              <w:spacing w:line="460" w:lineRule="exact"/>
              <w:ind w:firstLine="570"/>
              <w:rPr>
                <w:rFonts w:hint="eastAsia" w:ascii="宋体" w:hAnsi="宋体" w:cs="宋体"/>
                <w:color w:val="auto"/>
                <w:sz w:val="24"/>
                <w:szCs w:val="24"/>
                <w:highlight w:val="none"/>
              </w:rPr>
            </w:pPr>
          </w:p>
          <w:p w14:paraId="77AC620E">
            <w:pPr>
              <w:tabs>
                <w:tab w:val="left" w:pos="6300"/>
              </w:tabs>
              <w:snapToGrid w:val="0"/>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注：1.本表即为对本项目服务需求中所列要求进行比较和响应；</w:t>
            </w:r>
          </w:p>
          <w:p w14:paraId="6840D467">
            <w:pPr>
              <w:tabs>
                <w:tab w:val="left" w:pos="6300"/>
              </w:tabs>
              <w:snapToGrid w:val="0"/>
              <w:spacing w:line="460" w:lineRule="exact"/>
              <w:ind w:left="719" w:leftChars="228"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2.该表必须按照遴选要求逐条如实填写，根据响应情况在“差异说明”项填写</w:t>
            </w:r>
            <w:r>
              <w:rPr>
                <w:rFonts w:hint="eastAsia" w:ascii="宋体" w:hAnsi="宋体" w:cs="宋体"/>
                <w:b/>
                <w:color w:val="auto"/>
                <w:sz w:val="24"/>
                <w:szCs w:val="24"/>
                <w:highlight w:val="none"/>
              </w:rPr>
              <w:t>偏离情况及原因</w:t>
            </w:r>
            <w:r>
              <w:rPr>
                <w:rFonts w:hint="eastAsia" w:ascii="宋体" w:hAnsi="宋体" w:cs="宋体"/>
                <w:color w:val="auto"/>
                <w:sz w:val="24"/>
                <w:szCs w:val="24"/>
                <w:highlight w:val="none"/>
              </w:rPr>
              <w:t>，完全符合的填写</w:t>
            </w:r>
            <w:r>
              <w:rPr>
                <w:rFonts w:hint="eastAsia" w:ascii="宋体" w:hAnsi="宋体" w:cs="宋体"/>
                <w:b/>
                <w:color w:val="auto"/>
                <w:sz w:val="24"/>
                <w:szCs w:val="24"/>
                <w:highlight w:val="none"/>
              </w:rPr>
              <w:t>“无差异”；</w:t>
            </w:r>
          </w:p>
          <w:bookmarkEnd w:id="57"/>
          <w:p w14:paraId="1C7A1342">
            <w:pPr>
              <w:tabs>
                <w:tab w:val="left" w:pos="6300"/>
              </w:tabs>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3.该表可扩展，并逐页签字盖章。</w:t>
            </w:r>
          </w:p>
          <w:p w14:paraId="203668B0">
            <w:pPr>
              <w:snapToGrid w:val="0"/>
              <w:spacing w:line="4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商务要求</w:t>
            </w:r>
            <w:r>
              <w:rPr>
                <w:rFonts w:hint="eastAsia" w:ascii="宋体" w:hAnsi="宋体" w:cs="宋体"/>
                <w:b/>
                <w:bCs/>
                <w:color w:val="auto"/>
                <w:sz w:val="24"/>
                <w:szCs w:val="24"/>
                <w:highlight w:val="none"/>
              </w:rPr>
              <w:t>响应偏离表</w:t>
            </w:r>
          </w:p>
          <w:p w14:paraId="20AEB398">
            <w:pPr>
              <w:snapToGrid w:val="0"/>
              <w:spacing w:line="46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对于遴选文件的</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要求，如有任何偏离请如实填写下表：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3179"/>
              <w:gridCol w:w="2434"/>
              <w:gridCol w:w="2355"/>
            </w:tblGrid>
            <w:tr w14:paraId="071D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510" w:type="dxa"/>
                  <w:noWrap/>
                  <w:vAlign w:val="center"/>
                </w:tcPr>
                <w:p w14:paraId="0A24502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ign w:val="center"/>
                </w:tcPr>
                <w:p w14:paraId="05E1C916">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项目需求</w:t>
                  </w:r>
                </w:p>
              </w:tc>
              <w:tc>
                <w:tcPr>
                  <w:tcW w:w="2434" w:type="dxa"/>
                  <w:noWrap/>
                  <w:vAlign w:val="center"/>
                </w:tcPr>
                <w:p w14:paraId="3361145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ign w:val="center"/>
                </w:tcPr>
                <w:p w14:paraId="7D0AE25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720F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6AB83E90">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79" w:type="dxa"/>
                  <w:tcBorders>
                    <w:left w:val="single" w:color="auto" w:sz="4" w:space="0"/>
                  </w:tcBorders>
                  <w:noWrap/>
                  <w:vAlign w:val="center"/>
                </w:tcPr>
                <w:p w14:paraId="481DDAF0">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7FCFE657">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6A5328D">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3AA7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4D0ADF9F">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179" w:type="dxa"/>
                  <w:tcBorders>
                    <w:left w:val="single" w:color="auto" w:sz="4" w:space="0"/>
                  </w:tcBorders>
                  <w:noWrap/>
                  <w:vAlign w:val="center"/>
                </w:tcPr>
                <w:p w14:paraId="4ED90D24">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4C6C37A">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3F894EAB">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72BB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BA45974">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179" w:type="dxa"/>
                  <w:tcBorders>
                    <w:left w:val="single" w:color="auto" w:sz="4" w:space="0"/>
                  </w:tcBorders>
                  <w:noWrap/>
                  <w:vAlign w:val="center"/>
                </w:tcPr>
                <w:p w14:paraId="5EBD6A65">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ED79C47">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A199665">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84D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21953856">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3179" w:type="dxa"/>
                  <w:tcBorders>
                    <w:left w:val="single" w:color="auto" w:sz="4" w:space="0"/>
                  </w:tcBorders>
                  <w:noWrap/>
                  <w:vAlign w:val="center"/>
                </w:tcPr>
                <w:p w14:paraId="6F21F12E">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0B5FAC5E">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B9BD2E4">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4B41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5F2138FA">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179" w:type="dxa"/>
                  <w:tcBorders>
                    <w:left w:val="single" w:color="auto" w:sz="4" w:space="0"/>
                  </w:tcBorders>
                  <w:noWrap/>
                  <w:vAlign w:val="center"/>
                </w:tcPr>
                <w:p w14:paraId="3BDF7116">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53044C7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1293299">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372F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036BDC80">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3179" w:type="dxa"/>
                  <w:tcBorders>
                    <w:left w:val="single" w:color="auto" w:sz="4" w:space="0"/>
                  </w:tcBorders>
                  <w:noWrap/>
                  <w:vAlign w:val="center"/>
                </w:tcPr>
                <w:p w14:paraId="644A3D55">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6FCA35D4">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12683905">
                  <w:pPr>
                    <w:tabs>
                      <w:tab w:val="left" w:pos="6300"/>
                    </w:tabs>
                    <w:snapToGrid w:val="0"/>
                    <w:spacing w:line="460" w:lineRule="exact"/>
                    <w:jc w:val="center"/>
                    <w:outlineLvl w:val="0"/>
                    <w:rPr>
                      <w:rFonts w:hint="eastAsia" w:ascii="宋体" w:hAnsi="宋体" w:cs="宋体"/>
                      <w:color w:val="auto"/>
                      <w:sz w:val="24"/>
                      <w:szCs w:val="24"/>
                      <w:highlight w:val="none"/>
                    </w:rPr>
                  </w:pPr>
                </w:p>
              </w:tc>
            </w:tr>
          </w:tbl>
          <w:p w14:paraId="3F642E8E">
            <w:pPr>
              <w:spacing w:line="460" w:lineRule="exact"/>
              <w:ind w:firstLine="600" w:firstLineChars="250"/>
              <w:rPr>
                <w:rFonts w:hint="eastAsia" w:ascii="宋体" w:hAnsi="宋体" w:cs="宋体"/>
                <w:color w:val="auto"/>
                <w:sz w:val="24"/>
                <w:szCs w:val="24"/>
                <w:highlight w:val="none"/>
              </w:rPr>
            </w:pPr>
          </w:p>
          <w:p w14:paraId="693F6519">
            <w:pPr>
              <w:spacing w:line="4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法人授权代表：</w:t>
            </w:r>
          </w:p>
          <w:p w14:paraId="30F6CB55">
            <w:pPr>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0E9DD962">
            <w:pPr>
              <w:spacing w:line="460" w:lineRule="exact"/>
              <w:ind w:firstLine="360" w:firstLineChars="150"/>
              <w:rPr>
                <w:rFonts w:hint="eastAsia" w:ascii="宋体" w:hAnsi="宋体" w:cs="宋体"/>
                <w:color w:val="auto"/>
                <w:sz w:val="24"/>
                <w:szCs w:val="24"/>
                <w:highlight w:val="none"/>
              </w:rPr>
            </w:pPr>
          </w:p>
          <w:p w14:paraId="06CCFC81">
            <w:pPr>
              <w:tabs>
                <w:tab w:val="left" w:pos="6300"/>
              </w:tabs>
              <w:snapToGrid w:val="0"/>
              <w:spacing w:line="46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197505F3">
            <w:pPr>
              <w:tabs>
                <w:tab w:val="left" w:pos="6300"/>
              </w:tabs>
              <w:snapToGrid w:val="0"/>
              <w:spacing w:line="460" w:lineRule="exact"/>
              <w:ind w:firstLine="570"/>
              <w:rPr>
                <w:rFonts w:hint="eastAsia" w:ascii="宋体" w:hAnsi="宋体" w:cs="宋体"/>
                <w:color w:val="auto"/>
                <w:sz w:val="24"/>
                <w:szCs w:val="24"/>
                <w:highlight w:val="none"/>
              </w:rPr>
            </w:pPr>
          </w:p>
          <w:p w14:paraId="4F6D7887">
            <w:pPr>
              <w:tabs>
                <w:tab w:val="left" w:pos="6300"/>
              </w:tabs>
              <w:snapToGrid w:val="0"/>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注：1.本表即为对本项目服务需求中所列要求进行比较和响应；</w:t>
            </w:r>
          </w:p>
          <w:p w14:paraId="23A26030">
            <w:pPr>
              <w:tabs>
                <w:tab w:val="left" w:pos="6300"/>
              </w:tabs>
              <w:snapToGrid w:val="0"/>
              <w:spacing w:line="460" w:lineRule="exact"/>
              <w:ind w:left="719" w:leftChars="228"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2.该表必须按照遴选要求逐条如实填写，根据响应情况在“差异说明”项填写</w:t>
            </w:r>
            <w:r>
              <w:rPr>
                <w:rFonts w:hint="eastAsia" w:ascii="宋体" w:hAnsi="宋体" w:cs="宋体"/>
                <w:b/>
                <w:color w:val="auto"/>
                <w:sz w:val="24"/>
                <w:szCs w:val="24"/>
                <w:highlight w:val="none"/>
              </w:rPr>
              <w:t>偏离情况及原因</w:t>
            </w:r>
            <w:r>
              <w:rPr>
                <w:rFonts w:hint="eastAsia" w:ascii="宋体" w:hAnsi="宋体" w:cs="宋体"/>
                <w:color w:val="auto"/>
                <w:sz w:val="24"/>
                <w:szCs w:val="24"/>
                <w:highlight w:val="none"/>
              </w:rPr>
              <w:t>，完全符合的填写</w:t>
            </w:r>
            <w:r>
              <w:rPr>
                <w:rFonts w:hint="eastAsia" w:ascii="宋体" w:hAnsi="宋体" w:cs="宋体"/>
                <w:b/>
                <w:color w:val="auto"/>
                <w:sz w:val="24"/>
                <w:szCs w:val="24"/>
                <w:highlight w:val="none"/>
              </w:rPr>
              <w:t>“无差异”；</w:t>
            </w:r>
          </w:p>
          <w:p w14:paraId="0B2FA794">
            <w:pPr>
              <w:tabs>
                <w:tab w:val="left" w:pos="6300"/>
              </w:tabs>
              <w:snapToGrid w:val="0"/>
              <w:spacing w:line="460" w:lineRule="exact"/>
              <w:ind w:firstLine="480" w:firstLineChars="200"/>
              <w:rPr>
                <w:rFonts w:hint="eastAsia" w:ascii="宋体" w:hAnsi="宋体" w:cs="宋体"/>
                <w:b/>
                <w:bCs/>
                <w:color w:val="auto"/>
                <w:kern w:val="2"/>
                <w:sz w:val="30"/>
                <w:szCs w:val="30"/>
                <w:highlight w:val="none"/>
              </w:rPr>
            </w:pPr>
            <w:r>
              <w:rPr>
                <w:rFonts w:hint="eastAsia" w:ascii="宋体" w:hAnsi="宋体" w:cs="宋体"/>
                <w:color w:val="auto"/>
                <w:sz w:val="24"/>
                <w:szCs w:val="24"/>
                <w:highlight w:val="none"/>
              </w:rPr>
              <w:t>3.该表可扩展，并逐页签字盖章。</w:t>
            </w:r>
          </w:p>
          <w:p w14:paraId="63DE3AB3">
            <w:pPr>
              <w:tabs>
                <w:tab w:val="left" w:pos="1764"/>
              </w:tabs>
              <w:snapToGrid w:val="0"/>
              <w:spacing w:line="460" w:lineRule="exact"/>
              <w:rPr>
                <w:rFonts w:hint="eastAsia" w:ascii="宋体" w:hAnsi="宋体" w:cs="宋体"/>
                <w:color w:val="auto"/>
                <w:sz w:val="30"/>
                <w:szCs w:val="30"/>
                <w:highlight w:val="none"/>
              </w:rPr>
            </w:pPr>
            <w:r>
              <w:rPr>
                <w:rFonts w:hint="eastAsia" w:ascii="宋体" w:hAnsi="宋体" w:cs="宋体"/>
                <w:b/>
                <w:color w:val="auto"/>
                <w:sz w:val="24"/>
                <w:szCs w:val="24"/>
                <w:highlight w:val="none"/>
              </w:rPr>
              <w:t>五、其他</w:t>
            </w:r>
          </w:p>
          <w:p w14:paraId="0E008CC5">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78C33FC4">
            <w:pPr>
              <w:tabs>
                <w:tab w:val="left" w:pos="6300"/>
              </w:tabs>
              <w:snapToGrid w:val="0"/>
              <w:spacing w:line="500" w:lineRule="exact"/>
              <w:jc w:val="center"/>
              <w:rPr>
                <w:rFonts w:hint="eastAsia" w:ascii="方正仿宋_GBK" w:hAnsi="宋体" w:eastAsia="方正仿宋_GBK"/>
                <w:color w:val="auto"/>
                <w:szCs w:val="28"/>
              </w:rPr>
            </w:pPr>
            <w:r>
              <w:rPr>
                <w:rFonts w:hint="eastAsia" w:ascii="方正仿宋_GBK" w:hAnsi="宋体" w:eastAsia="方正仿宋_GBK"/>
                <w:color w:val="auto"/>
                <w:szCs w:val="28"/>
              </w:rPr>
              <w:t>中小企业声明函</w:t>
            </w:r>
          </w:p>
          <w:p w14:paraId="7A9418A4">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本公司（联合体）郑重声明，根据《政府采购促进中小企业发展管理办法》（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）的规定，本公司（联合体）参加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采购活动，提供的货物全部由符合政策要求的中小企业制造。相关企业（含联合体中的中小企业、签订分包意向协议的中小企业）的具体情况如下：</w:t>
            </w:r>
          </w:p>
          <w:p w14:paraId="064AE37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（采购文件中明确的所属行业）行业</w:t>
            </w:r>
            <w:r>
              <w:rPr>
                <w:rFonts w:hint="eastAsia" w:ascii="方正仿宋_GBK" w:hAnsi="仿宋" w:eastAsia="方正仿宋_GBK"/>
                <w:color w:val="auto"/>
                <w:sz w:val="24"/>
                <w:szCs w:val="28"/>
              </w:rPr>
              <w:t>；制造商为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1D31A1B8">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（采购文件中明确的所属行业）行业</w:t>
            </w:r>
            <w:r>
              <w:rPr>
                <w:rFonts w:hint="eastAsia" w:ascii="方正仿宋_GBK" w:hAnsi="仿宋" w:eastAsia="方正仿宋_GBK"/>
                <w:color w:val="auto"/>
                <w:sz w:val="24"/>
                <w:szCs w:val="28"/>
              </w:rPr>
              <w:t>；制造商为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74C25A0F">
            <w:pPr>
              <w:tabs>
                <w:tab w:val="left" w:pos="6300"/>
              </w:tabs>
              <w:snapToGrid w:val="0"/>
              <w:spacing w:line="500" w:lineRule="exact"/>
              <w:ind w:right="782" w:firstLine="480" w:firstLineChars="200"/>
              <w:rPr>
                <w:rFonts w:hint="eastAsia" w:ascii="方正仿宋_GBK" w:hAnsi="仿宋" w:eastAsia="方正仿宋_GBK"/>
                <w:color w:val="auto"/>
                <w:sz w:val="24"/>
              </w:rPr>
            </w:pPr>
            <w:r>
              <w:rPr>
                <w:rFonts w:ascii="方正仿宋_GBK" w:hAnsi="仿宋" w:eastAsia="方正仿宋_GBK"/>
                <w:color w:val="auto"/>
                <w:sz w:val="24"/>
              </w:rPr>
              <w:t>……</w:t>
            </w:r>
          </w:p>
          <w:p w14:paraId="642C130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38E4F3E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63413531">
            <w:pPr>
              <w:tabs>
                <w:tab w:val="left" w:pos="6300"/>
              </w:tabs>
              <w:snapToGrid w:val="0"/>
              <w:spacing w:line="500" w:lineRule="exact"/>
              <w:ind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21F99287">
            <w:pPr>
              <w:tabs>
                <w:tab w:val="left" w:pos="6300"/>
              </w:tabs>
              <w:snapToGrid w:val="0"/>
              <w:spacing w:line="500" w:lineRule="exact"/>
              <w:ind w:right="784"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日期：</w:t>
            </w:r>
          </w:p>
          <w:p w14:paraId="613FED55">
            <w:pPr>
              <w:tabs>
                <w:tab w:val="left" w:pos="6300"/>
              </w:tabs>
              <w:snapToGrid w:val="0"/>
              <w:spacing w:line="500" w:lineRule="exact"/>
              <w:ind w:right="784" w:firstLine="6120" w:firstLineChars="2550"/>
              <w:rPr>
                <w:rFonts w:hint="eastAsia" w:ascii="方正仿宋_GBK" w:hAnsi="仿宋" w:eastAsia="方正仿宋_GBK"/>
                <w:color w:val="auto"/>
                <w:sz w:val="24"/>
              </w:rPr>
            </w:pPr>
          </w:p>
          <w:p w14:paraId="4D7B49AF">
            <w:pPr>
              <w:tabs>
                <w:tab w:val="left" w:pos="6300"/>
              </w:tabs>
              <w:snapToGrid w:val="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0C37ED55">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2276DD95">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4B4E1CF1">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1D526C23">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31D28B0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71AF5B3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2F8582A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8A6F7A">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AFC8C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5AAA4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3D92B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2BF91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AB382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4FFA5F">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DC9E8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DD41C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EB1D1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C3E78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241692">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25CA1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450E8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5BC66BF">
            <w:pPr>
              <w:tabs>
                <w:tab w:val="left" w:pos="6300"/>
              </w:tabs>
              <w:snapToGrid w:val="0"/>
              <w:spacing w:line="500" w:lineRule="exact"/>
              <w:ind w:firstLine="420" w:firstLineChars="200"/>
              <w:jc w:val="center"/>
              <w:rPr>
                <w:rFonts w:hint="eastAsia" w:ascii="方正仿宋_GBK" w:hAnsi="宋体" w:eastAsia="方正仿宋_GBK"/>
                <w:color w:val="auto"/>
                <w:szCs w:val="28"/>
              </w:rPr>
            </w:pPr>
            <w:r>
              <w:rPr>
                <w:rFonts w:hint="eastAsia" w:ascii="方正仿宋_GBK" w:hAnsi="仿宋" w:eastAsia="方正仿宋_GBK"/>
                <w:color w:val="auto"/>
              </w:rPr>
              <w:br w:type="page"/>
            </w:r>
            <w:r>
              <w:rPr>
                <w:rFonts w:hint="eastAsia" w:ascii="方正仿宋_GBK" w:hAnsi="宋体" w:eastAsia="方正仿宋_GBK"/>
                <w:color w:val="auto"/>
                <w:szCs w:val="28"/>
              </w:rPr>
              <w:t>监狱企业证明文件</w:t>
            </w:r>
          </w:p>
          <w:p w14:paraId="3F487614">
            <w:pPr>
              <w:tabs>
                <w:tab w:val="left" w:pos="6300"/>
              </w:tabs>
              <w:snapToGrid w:val="0"/>
              <w:spacing w:line="400" w:lineRule="exact"/>
              <w:ind w:firstLine="480" w:firstLineChars="200"/>
              <w:jc w:val="left"/>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以省级以上监狱管理局、戒毒管理局（含新疆生产建设兵团）出具的属于监狱企业的证明文件为准。</w:t>
            </w:r>
          </w:p>
          <w:p w14:paraId="75D892AE">
            <w:pPr>
              <w:tabs>
                <w:tab w:val="left" w:pos="6300"/>
              </w:tabs>
              <w:snapToGrid w:val="0"/>
              <w:spacing w:line="400" w:lineRule="exact"/>
              <w:ind w:firstLine="420" w:firstLineChars="200"/>
              <w:jc w:val="center"/>
              <w:rPr>
                <w:rFonts w:hint="eastAsia" w:ascii="方正仿宋_GBK" w:hAnsi="仿宋" w:eastAsia="方正仿宋_GBK"/>
                <w:color w:val="auto"/>
                <w:szCs w:val="28"/>
              </w:rPr>
            </w:pPr>
            <w:r>
              <w:rPr>
                <w:rFonts w:hint="eastAsia" w:ascii="方正仿宋_GBK" w:hAnsi="仿宋" w:eastAsia="方正仿宋_GBK"/>
                <w:color w:val="auto"/>
              </w:rPr>
              <w:br w:type="page"/>
            </w:r>
            <w:r>
              <w:rPr>
                <w:rFonts w:hint="eastAsia" w:ascii="方正仿宋_GBK" w:hAnsi="仿宋" w:eastAsia="方正仿宋_GBK"/>
                <w:color w:val="auto"/>
                <w:szCs w:val="28"/>
              </w:rPr>
              <w:t>残疾人福利性单位声明函</w:t>
            </w:r>
          </w:p>
          <w:p w14:paraId="1BC0C480">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8EA7DD">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780C1AC5">
            <w:pPr>
              <w:tabs>
                <w:tab w:val="left" w:pos="6300"/>
              </w:tabs>
              <w:snapToGrid w:val="0"/>
              <w:spacing w:line="500" w:lineRule="exact"/>
              <w:ind w:firstLine="480" w:firstLineChars="200"/>
              <w:rPr>
                <w:rFonts w:hint="eastAsia" w:ascii="方正仿宋_GBK" w:hAnsi="仿宋" w:eastAsia="方正仿宋_GBK"/>
                <w:color w:val="auto"/>
                <w:sz w:val="24"/>
              </w:rPr>
            </w:pPr>
          </w:p>
          <w:p w14:paraId="60D31D1A">
            <w:pPr>
              <w:tabs>
                <w:tab w:val="left" w:pos="6300"/>
              </w:tabs>
              <w:snapToGrid w:val="0"/>
              <w:spacing w:line="500" w:lineRule="exact"/>
              <w:ind w:firstLine="480" w:firstLineChars="200"/>
              <w:rPr>
                <w:rFonts w:hint="eastAsia" w:ascii="方正仿宋_GBK" w:hAnsi="仿宋" w:eastAsia="方正仿宋_GBK"/>
                <w:color w:val="auto"/>
                <w:sz w:val="24"/>
              </w:rPr>
            </w:pPr>
          </w:p>
          <w:p w14:paraId="2846102E">
            <w:pPr>
              <w:tabs>
                <w:tab w:val="left" w:pos="6300"/>
              </w:tabs>
              <w:snapToGrid w:val="0"/>
              <w:spacing w:line="500" w:lineRule="exact"/>
              <w:ind w:firstLine="480" w:firstLineChars="200"/>
              <w:rPr>
                <w:rFonts w:hint="eastAsia" w:ascii="方正仿宋_GBK" w:hAnsi="仿宋" w:eastAsia="方正仿宋_GBK"/>
                <w:color w:val="auto"/>
                <w:sz w:val="24"/>
              </w:rPr>
            </w:pPr>
          </w:p>
          <w:p w14:paraId="6272974F">
            <w:pPr>
              <w:tabs>
                <w:tab w:val="left" w:pos="6300"/>
              </w:tabs>
              <w:snapToGrid w:val="0"/>
              <w:spacing w:line="500" w:lineRule="exact"/>
              <w:ind w:firstLine="480" w:firstLineChars="200"/>
              <w:rPr>
                <w:rFonts w:hint="eastAsia" w:ascii="方正仿宋_GBK" w:hAnsi="仿宋" w:eastAsia="方正仿宋_GBK"/>
                <w:color w:val="auto"/>
                <w:sz w:val="24"/>
              </w:rPr>
            </w:pPr>
          </w:p>
          <w:p w14:paraId="65563DD0">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749ABFF1">
            <w:pPr>
              <w:tabs>
                <w:tab w:val="left" w:pos="6300"/>
              </w:tabs>
              <w:snapToGrid w:val="0"/>
              <w:spacing w:line="500" w:lineRule="exact"/>
              <w:ind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 xml:space="preserve">                                                  日  期：</w:t>
            </w:r>
          </w:p>
          <w:p w14:paraId="14C7C468">
            <w:pPr>
              <w:tabs>
                <w:tab w:val="left" w:pos="6300"/>
              </w:tabs>
              <w:snapToGrid w:val="0"/>
              <w:spacing w:line="500" w:lineRule="exact"/>
              <w:jc w:val="left"/>
              <w:rPr>
                <w:rFonts w:hint="eastAsia" w:ascii="方正仿宋_GBK" w:hAnsi="仿宋" w:eastAsia="方正仿宋_GBK"/>
                <w:color w:val="auto"/>
                <w:sz w:val="24"/>
              </w:rPr>
            </w:pPr>
          </w:p>
          <w:p w14:paraId="3FC21806">
            <w:pPr>
              <w:tabs>
                <w:tab w:val="left" w:pos="6300"/>
              </w:tabs>
              <w:snapToGrid w:val="0"/>
              <w:spacing w:line="500" w:lineRule="exact"/>
              <w:ind w:firstLine="570"/>
              <w:jc w:val="left"/>
              <w:rPr>
                <w:rFonts w:hint="eastAsia" w:ascii="方正仿宋_GBK" w:hAnsi="仿宋" w:eastAsia="方正仿宋_GBK"/>
                <w:color w:val="auto"/>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692CC791">
            <w:pPr>
              <w:widowControl/>
              <w:spacing w:line="400" w:lineRule="exact"/>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（二）其他与项目有关的资料（自附）</w:t>
            </w:r>
          </w:p>
          <w:p w14:paraId="3363E5CB">
            <w:pPr>
              <w:spacing w:line="360" w:lineRule="auto"/>
              <w:ind w:firstLine="480" w:firstLineChars="200"/>
              <w:rPr>
                <w:rFonts w:hint="eastAsia" w:ascii="方正仿宋_GBK" w:hAnsi="宋体" w:eastAsia="方正仿宋_GBK"/>
                <w:color w:val="auto"/>
                <w:sz w:val="24"/>
                <w:szCs w:val="24"/>
              </w:rPr>
            </w:pPr>
          </w:p>
          <w:p w14:paraId="40AE6179">
            <w:pPr>
              <w:pStyle w:val="10"/>
              <w:rPr>
                <w:rFonts w:hint="eastAsia" w:ascii="方正仿宋_GBK" w:hAnsi="宋体" w:eastAsia="方正仿宋_GBK"/>
                <w:color w:val="auto"/>
                <w:sz w:val="24"/>
                <w:szCs w:val="24"/>
              </w:rPr>
            </w:pPr>
          </w:p>
          <w:p w14:paraId="7BF28E91">
            <w:pPr>
              <w:pStyle w:val="10"/>
              <w:rPr>
                <w:rFonts w:hint="eastAsia" w:ascii="方正仿宋_GBK" w:hAnsi="宋体" w:eastAsia="方正仿宋_GBK"/>
                <w:color w:val="auto"/>
                <w:sz w:val="24"/>
                <w:szCs w:val="24"/>
              </w:rPr>
            </w:pPr>
          </w:p>
          <w:p w14:paraId="71D2D6A4">
            <w:pPr>
              <w:pStyle w:val="10"/>
              <w:rPr>
                <w:rFonts w:hint="eastAsia" w:ascii="方正仿宋_GBK" w:hAnsi="宋体" w:eastAsia="方正仿宋_GBK"/>
                <w:color w:val="auto"/>
                <w:sz w:val="24"/>
                <w:szCs w:val="24"/>
              </w:rPr>
            </w:pPr>
          </w:p>
          <w:p w14:paraId="12C90DAD">
            <w:pPr>
              <w:spacing w:line="360" w:lineRule="auto"/>
              <w:ind w:firstLine="420" w:firstLineChars="200"/>
              <w:jc w:val="center"/>
              <w:rPr>
                <w:rFonts w:hint="eastAsia" w:ascii="方正仿宋_GBK" w:hAnsi="仿宋" w:eastAsia="方正仿宋_GBK"/>
                <w:color w:val="auto"/>
              </w:rPr>
            </w:pPr>
            <w:r>
              <w:rPr>
                <w:rFonts w:hint="eastAsia" w:ascii="方正仿宋_GBK" w:hAnsi="仿宋" w:eastAsia="方正仿宋_GBK"/>
                <w:color w:val="auto"/>
              </w:rPr>
              <w:t>（结束）</w:t>
            </w:r>
          </w:p>
          <w:p w14:paraId="2E73FDA1">
            <w:pPr>
              <w:snapToGrid w:val="0"/>
              <w:spacing w:line="460" w:lineRule="exact"/>
              <w:ind w:firstLine="600" w:firstLineChars="200"/>
              <w:rPr>
                <w:rFonts w:hint="eastAsia" w:ascii="宋体" w:hAnsi="宋体" w:cs="宋体"/>
                <w:color w:val="auto"/>
                <w:sz w:val="30"/>
                <w:szCs w:val="30"/>
                <w:highlight w:val="none"/>
              </w:rPr>
            </w:pPr>
          </w:p>
          <w:p w14:paraId="7E545CFC">
            <w:pPr>
              <w:adjustRightInd w:val="0"/>
              <w:snapToGrid w:val="0"/>
              <w:ind w:firstLine="480" w:firstLineChars="200"/>
              <w:rPr>
                <w:rFonts w:hint="eastAsia" w:ascii="方正仿宋_GBK" w:hAnsi="方正仿宋_GBK" w:eastAsia="方正仿宋_GBK" w:cs="方正仿宋_GBK"/>
                <w:spacing w:val="0"/>
                <w:sz w:val="24"/>
                <w:szCs w:val="24"/>
                <w:lang w:val="en-US" w:eastAsia="zh-CN"/>
              </w:rPr>
            </w:pPr>
          </w:p>
        </w:tc>
      </w:tr>
    </w:tbl>
    <w:p w14:paraId="430063E2"/>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GWZT-EN">
    <w:altName w:val="宋体"/>
    <w:panose1 w:val="020204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941158"/>
      <w:docPartObj>
        <w:docPartGallery w:val="autotext"/>
      </w:docPartObj>
    </w:sdtPr>
    <w:sdtEndPr>
      <w:rPr>
        <w:rFonts w:asciiTheme="minorEastAsia" w:hAnsiTheme="minorEastAsia" w:eastAsiaTheme="minorEastAsia"/>
        <w:sz w:val="28"/>
        <w:szCs w:val="28"/>
      </w:rPr>
    </w:sdtEndPr>
    <w:sdtContent>
      <w:p w14:paraId="5749BCF7">
        <w:pPr>
          <w:pStyle w:val="7"/>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6C11E66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239908"/>
      <w:docPartObj>
        <w:docPartGallery w:val="autotext"/>
      </w:docPartObj>
    </w:sdtPr>
    <w:sdtEndPr>
      <w:rPr>
        <w:rFonts w:asciiTheme="minorEastAsia" w:hAnsiTheme="minorEastAsia" w:eastAsiaTheme="minorEastAsia"/>
        <w:sz w:val="28"/>
        <w:szCs w:val="28"/>
      </w:rPr>
    </w:sdtEndPr>
    <w:sdtContent>
      <w:p w14:paraId="5435FB13">
        <w:pPr>
          <w:pStyle w:val="7"/>
          <w:rPr>
            <w:rFonts w:asciiTheme="minorEastAsia" w:hAnsiTheme="minorEastAsia" w:eastAsiaTheme="minorEastAsia"/>
            <w:sz w:val="28"/>
            <w:szCs w:val="28"/>
          </w:rPr>
        </w:pPr>
        <w:r>
          <w:rPr>
            <w:rFonts w:hint="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0CE68"/>
    <w:multiLevelType w:val="singleLevel"/>
    <w:tmpl w:val="CA20CE68"/>
    <w:lvl w:ilvl="0" w:tentative="0">
      <w:start w:val="1"/>
      <w:numFmt w:val="decimal"/>
      <w:suff w:val="nothing"/>
      <w:lvlText w:val="（%1）"/>
      <w:lvlJc w:val="left"/>
    </w:lvl>
  </w:abstractNum>
  <w:abstractNum w:abstractNumId="1">
    <w:nsid w:val="2FDD8C87"/>
    <w:multiLevelType w:val="singleLevel"/>
    <w:tmpl w:val="2FDD8C87"/>
    <w:lvl w:ilvl="0" w:tentative="0">
      <w:start w:val="2"/>
      <w:numFmt w:val="decimal"/>
      <w:lvlText w:val="%1."/>
      <w:lvlJc w:val="left"/>
      <w:pPr>
        <w:tabs>
          <w:tab w:val="left" w:pos="312"/>
        </w:tabs>
      </w:pPr>
    </w:lvl>
  </w:abstractNum>
  <w:abstractNum w:abstractNumId="2">
    <w:nsid w:val="60E35451"/>
    <w:multiLevelType w:val="singleLevel"/>
    <w:tmpl w:val="60E35451"/>
    <w:lvl w:ilvl="0" w:tentative="0">
      <w:start w:val="1"/>
      <w:numFmt w:val="decimal"/>
      <w:suff w:val="nothing"/>
      <w:lvlText w:val="%1、"/>
      <w:lvlJc w:val="left"/>
    </w:lvl>
  </w:abstractNum>
  <w:abstractNum w:abstractNumId="3">
    <w:nsid w:val="665641AC"/>
    <w:multiLevelType w:val="singleLevel"/>
    <w:tmpl w:val="665641AC"/>
    <w:lvl w:ilvl="0" w:tentative="0">
      <w:start w:val="1"/>
      <w:numFmt w:val="decimal"/>
      <w:lvlText w:val="%1."/>
      <w:lvlJc w:val="left"/>
      <w:pPr>
        <w:tabs>
          <w:tab w:val="left" w:pos="312"/>
        </w:tabs>
      </w:pPr>
      <w:rPr>
        <w:rFonts w:hint="default"/>
        <w:sz w:val="21"/>
        <w:szCs w:val="21"/>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78"/>
    <w:rsid w:val="00017C90"/>
    <w:rsid w:val="00041AE4"/>
    <w:rsid w:val="000438D4"/>
    <w:rsid w:val="00047FFA"/>
    <w:rsid w:val="00052FB9"/>
    <w:rsid w:val="0005528D"/>
    <w:rsid w:val="00066DA6"/>
    <w:rsid w:val="00066F72"/>
    <w:rsid w:val="0008461E"/>
    <w:rsid w:val="000907BC"/>
    <w:rsid w:val="000D1ED1"/>
    <w:rsid w:val="000E35BA"/>
    <w:rsid w:val="00153CB5"/>
    <w:rsid w:val="001A2FCE"/>
    <w:rsid w:val="001D699C"/>
    <w:rsid w:val="002036FD"/>
    <w:rsid w:val="00224835"/>
    <w:rsid w:val="002316CF"/>
    <w:rsid w:val="00246AC5"/>
    <w:rsid w:val="0025335F"/>
    <w:rsid w:val="00253D0F"/>
    <w:rsid w:val="00265A5D"/>
    <w:rsid w:val="0029077D"/>
    <w:rsid w:val="002919BF"/>
    <w:rsid w:val="002B5CCC"/>
    <w:rsid w:val="002E2B0F"/>
    <w:rsid w:val="00302B43"/>
    <w:rsid w:val="00307876"/>
    <w:rsid w:val="003819EF"/>
    <w:rsid w:val="00385199"/>
    <w:rsid w:val="00395792"/>
    <w:rsid w:val="003A1FF6"/>
    <w:rsid w:val="003D29B5"/>
    <w:rsid w:val="00453424"/>
    <w:rsid w:val="00456F38"/>
    <w:rsid w:val="004A4FDE"/>
    <w:rsid w:val="004A7921"/>
    <w:rsid w:val="004E45E8"/>
    <w:rsid w:val="005150EC"/>
    <w:rsid w:val="0055783A"/>
    <w:rsid w:val="00562F65"/>
    <w:rsid w:val="005763E5"/>
    <w:rsid w:val="005B06B2"/>
    <w:rsid w:val="005C5934"/>
    <w:rsid w:val="005E25CE"/>
    <w:rsid w:val="00616968"/>
    <w:rsid w:val="00616CEA"/>
    <w:rsid w:val="006233C2"/>
    <w:rsid w:val="0068274D"/>
    <w:rsid w:val="006B3603"/>
    <w:rsid w:val="006C2885"/>
    <w:rsid w:val="00705B01"/>
    <w:rsid w:val="0073354A"/>
    <w:rsid w:val="00763267"/>
    <w:rsid w:val="00793289"/>
    <w:rsid w:val="007977CB"/>
    <w:rsid w:val="007C5B5D"/>
    <w:rsid w:val="007D6F55"/>
    <w:rsid w:val="00801E36"/>
    <w:rsid w:val="00810260"/>
    <w:rsid w:val="008537C1"/>
    <w:rsid w:val="00896CB4"/>
    <w:rsid w:val="008A2BBF"/>
    <w:rsid w:val="008A474F"/>
    <w:rsid w:val="008D5C75"/>
    <w:rsid w:val="008F7747"/>
    <w:rsid w:val="00920E4D"/>
    <w:rsid w:val="00946CB5"/>
    <w:rsid w:val="0097464D"/>
    <w:rsid w:val="00975715"/>
    <w:rsid w:val="00A078D5"/>
    <w:rsid w:val="00A229CC"/>
    <w:rsid w:val="00A75C73"/>
    <w:rsid w:val="00A809B2"/>
    <w:rsid w:val="00AD0289"/>
    <w:rsid w:val="00AE2988"/>
    <w:rsid w:val="00B176EE"/>
    <w:rsid w:val="00B47A0A"/>
    <w:rsid w:val="00B70C66"/>
    <w:rsid w:val="00B939C3"/>
    <w:rsid w:val="00BA0A6D"/>
    <w:rsid w:val="00BC51E4"/>
    <w:rsid w:val="00C10D0F"/>
    <w:rsid w:val="00C64A7B"/>
    <w:rsid w:val="00C82A6E"/>
    <w:rsid w:val="00D40E78"/>
    <w:rsid w:val="00D443E5"/>
    <w:rsid w:val="00D6589E"/>
    <w:rsid w:val="00D97381"/>
    <w:rsid w:val="00DA5341"/>
    <w:rsid w:val="00DB1F14"/>
    <w:rsid w:val="00E026D1"/>
    <w:rsid w:val="00E060F7"/>
    <w:rsid w:val="00E11D78"/>
    <w:rsid w:val="00E23370"/>
    <w:rsid w:val="00E27482"/>
    <w:rsid w:val="00E56A0B"/>
    <w:rsid w:val="00EA2101"/>
    <w:rsid w:val="00EB4C34"/>
    <w:rsid w:val="00EB7314"/>
    <w:rsid w:val="00EB7A64"/>
    <w:rsid w:val="00EC71E2"/>
    <w:rsid w:val="00ED7F47"/>
    <w:rsid w:val="00EF1E6E"/>
    <w:rsid w:val="00F0064F"/>
    <w:rsid w:val="00F06A47"/>
    <w:rsid w:val="00F205B7"/>
    <w:rsid w:val="00F26FEB"/>
    <w:rsid w:val="00F62E57"/>
    <w:rsid w:val="00F65B6E"/>
    <w:rsid w:val="00F87779"/>
    <w:rsid w:val="00FC01F5"/>
    <w:rsid w:val="00FD3C49"/>
    <w:rsid w:val="00FE009A"/>
    <w:rsid w:val="16F26FFB"/>
    <w:rsid w:val="17B6259E"/>
    <w:rsid w:val="30EC21CB"/>
    <w:rsid w:val="31D37187"/>
    <w:rsid w:val="39807BFA"/>
    <w:rsid w:val="39DE11EF"/>
    <w:rsid w:val="41E334CB"/>
    <w:rsid w:val="4EA8306F"/>
    <w:rsid w:val="51250223"/>
    <w:rsid w:val="5D962B2C"/>
    <w:rsid w:val="72BD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keepNext/>
      <w:widowControl/>
      <w:spacing w:line="360" w:lineRule="atLeast"/>
      <w:jc w:val="left"/>
      <w:outlineLvl w:val="0"/>
    </w:pPr>
    <w:rPr>
      <w:b/>
      <w:sz w:val="44"/>
      <w:szCs w:val="44"/>
    </w:rPr>
  </w:style>
  <w:style w:type="paragraph" w:styleId="4">
    <w:name w:val="heading 2"/>
    <w:basedOn w:val="1"/>
    <w:qFormat/>
    <w:uiPriority w:val="0"/>
    <w:pPr>
      <w:keepNext/>
      <w:keepLines/>
      <w:spacing w:before="260" w:after="260" w:line="413" w:lineRule="auto"/>
      <w:outlineLvl w:val="1"/>
    </w:pPr>
    <w:rPr>
      <w:rFonts w:ascii="Cambria" w:hAnsi="Cambria" w:cs="Cambria"/>
      <w:b/>
      <w:sz w:val="32"/>
      <w:szCs w:val="32"/>
    </w:rPr>
  </w:style>
  <w:style w:type="paragraph" w:styleId="5">
    <w:name w:val="heading 3"/>
    <w:basedOn w:val="1"/>
    <w:next w:val="1"/>
    <w:qFormat/>
    <w:uiPriority w:val="0"/>
    <w:pPr>
      <w:keepNext/>
      <w:keepLines/>
      <w:spacing w:before="260" w:after="260" w:line="413" w:lineRule="auto"/>
      <w:outlineLvl w:val="2"/>
    </w:pPr>
    <w:rPr>
      <w:b/>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rPr>
      <w:rFonts w:ascii="Times New Roman" w:hAnsi="Times New Roman"/>
      <w:szCs w:val="22"/>
    </w:rPr>
  </w:style>
  <w:style w:type="paragraph" w:styleId="6">
    <w:name w:val="Balloon Text"/>
    <w:basedOn w:val="1"/>
    <w:link w:val="19"/>
    <w:semiHidden/>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0"/>
    <w:pPr>
      <w:tabs>
        <w:tab w:val="right" w:leader="hyphen" w:pos="8303"/>
      </w:tabs>
      <w:jc w:val="center"/>
    </w:pPr>
    <w:rPr>
      <w:rFonts w:ascii="黑体" w:hAnsi="黑体" w:eastAsia="黑体"/>
      <w:kern w:val="2"/>
      <w:sz w:val="52"/>
      <w:szCs w:val="52"/>
    </w:rPr>
  </w:style>
  <w:style w:type="paragraph" w:styleId="10">
    <w:name w:val="HTML Preformatted"/>
    <w:basedOn w:val="1"/>
    <w:unhideWhenUsed/>
    <w:qFormat/>
    <w:uiPriority w:val="99"/>
    <w:rPr>
      <w:rFonts w:ascii="Courier New" w:hAnsi="Courier New"/>
      <w:sz w:val="20"/>
    </w:rPr>
  </w:style>
  <w:style w:type="paragraph" w:styleId="11">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12">
    <w:name w:val="Body Text First Indent"/>
    <w:basedOn w:val="1"/>
    <w:next w:val="1"/>
    <w:qFormat/>
    <w:uiPriority w:val="0"/>
    <w:pPr>
      <w:ind w:firstLine="100" w:firstLineChars="100"/>
    </w:pPr>
  </w:style>
  <w:style w:type="table" w:styleId="14">
    <w:name w:val="Table Grid"/>
    <w:basedOn w:val="13"/>
    <w:qFormat/>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Times New Roman" w:hAnsi="Times New Roman" w:eastAsia="宋体" w:cs="Times New Roman"/>
    </w:rPr>
  </w:style>
  <w:style w:type="character" w:customStyle="1" w:styleId="17">
    <w:name w:val="页脚 Char"/>
    <w:basedOn w:val="15"/>
    <w:link w:val="7"/>
    <w:qFormat/>
    <w:uiPriority w:val="99"/>
    <w:rPr>
      <w:rFonts w:ascii="Calibri" w:hAnsi="Calibri" w:eastAsia="宋体" w:cs="Times New Roman"/>
      <w:sz w:val="18"/>
      <w:szCs w:val="18"/>
    </w:rPr>
  </w:style>
  <w:style w:type="character" w:customStyle="1" w:styleId="18">
    <w:name w:val="页眉 Char"/>
    <w:basedOn w:val="15"/>
    <w:link w:val="8"/>
    <w:qFormat/>
    <w:uiPriority w:val="99"/>
    <w:rPr>
      <w:rFonts w:ascii="Calibri" w:hAnsi="Calibri" w:eastAsia="宋体" w:cs="Times New Roman"/>
      <w:sz w:val="18"/>
      <w:szCs w:val="18"/>
    </w:rPr>
  </w:style>
  <w:style w:type="character" w:customStyle="1" w:styleId="19">
    <w:name w:val="批注框文本 Char"/>
    <w:basedOn w:val="15"/>
    <w:link w:val="6"/>
    <w:semiHidden/>
    <w:qFormat/>
    <w:uiPriority w:val="99"/>
    <w:rPr>
      <w:rFonts w:ascii="Calibri" w:hAnsi="Calibri" w:eastAsia="宋体" w:cs="Times New Roman"/>
      <w:sz w:val="18"/>
      <w:szCs w:val="18"/>
    </w:rPr>
  </w:style>
  <w:style w:type="character" w:customStyle="1" w:styleId="20">
    <w:name w:val="正文文本 Char"/>
    <w:basedOn w:val="15"/>
    <w:link w:val="2"/>
    <w:qFormat/>
    <w:uiPriority w:val="0"/>
    <w:rPr>
      <w:rFonts w:ascii="Times New Roman" w:hAnsi="Times New Roman" w:eastAsia="宋体" w:cs="Times New Roman"/>
    </w:rPr>
  </w:style>
  <w:style w:type="character" w:customStyle="1" w:styleId="21">
    <w:name w:val="apple-converted-space"/>
    <w:basedOn w:val="15"/>
    <w:qFormat/>
    <w:uiPriority w:val="0"/>
  </w:style>
  <w:style w:type="paragraph" w:customStyle="1" w:styleId="22">
    <w:name w:val="TOC Heading"/>
    <w:basedOn w:val="3"/>
    <w:next w:val="1"/>
    <w:unhideWhenUsed/>
    <w:qFormat/>
    <w:uiPriority w:val="39"/>
    <w:pPr>
      <w:keepLines/>
      <w:spacing w:before="240" w:line="259" w:lineRule="auto"/>
      <w:outlineLvl w:val="9"/>
    </w:pPr>
    <w:rPr>
      <w:rFonts w:asciiTheme="majorHAnsi" w:hAnsiTheme="majorHAnsi" w:eastAsiaTheme="majorEastAsia" w:cstheme="majorBidi"/>
      <w:b w:val="0"/>
      <w:color w:val="376092" w:themeColor="accent1" w:themeShade="BF"/>
      <w:sz w:val="32"/>
      <w:szCs w:val="32"/>
    </w:rPr>
  </w:style>
  <w:style w:type="paragraph" w:styleId="23">
    <w:name w:val="List Paragraph"/>
    <w:basedOn w:val="1"/>
    <w:qFormat/>
    <w:uiPriority w:val="0"/>
    <w:pPr>
      <w:ind w:firstLine="200" w:firstLineChars="200"/>
    </w:pPr>
  </w:style>
  <w:style w:type="paragraph" w:customStyle="1" w:styleId="24">
    <w:name w:val="1"/>
    <w:basedOn w:val="1"/>
    <w:qFormat/>
    <w:uiPriority w:val="0"/>
    <w:rPr>
      <w:rFonts w:ascii="宋体" w:hAnsi="Courier New"/>
      <w:color w:val="auto"/>
      <w:ker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34</Pages>
  <Words>18473</Words>
  <Characters>19387</Characters>
  <Lines>3</Lines>
  <Paragraphs>1</Paragraphs>
  <TotalTime>70</TotalTime>
  <ScaleCrop>false</ScaleCrop>
  <LinksUpToDate>false</LinksUpToDate>
  <CharactersWithSpaces>20477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2019-01-02T09:44:00Z</dcterms:created>
  <dc:creator>赵露</dc:creator>
  <cp:lastModifiedBy>紫陌</cp:lastModifiedBy>
  <cp:lastPrinted>2025-09-24T00:26:00Z</cp:lastPrinted>
  <dcterms:modified xsi:type="dcterms:W3CDTF">2025-10-22T03:40:14Z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eyJoZGlkIjoiYTEzZDNiNDVkMzNhNDc1ODFmZWY3MzkyYzUxM2UxMjMiLCJ1c2VySWQiOiI1NTAyOTY4ODcifQ==</vt:lpwstr>
  </property>
  <property fmtid="{D5CDD505-2E9C-101B-9397-08002B2CF9AE}" pid="3" name="KSOProductBuildVer">
    <vt:lpwstr>2052-12.1.0.22529</vt:lpwstr>
  </property>
  <property fmtid="{D5CDD505-2E9C-101B-9397-08002B2CF9AE}" pid="4" name="ICV">
    <vt:lpwstr>96249946AD3B475BBC2C68E0585B0BF4_13</vt:lpwstr>
  </property>
</Properties>
</file>